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2.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8EA1B" w14:textId="1DA53212" w:rsidR="00E94677" w:rsidRDefault="00E94677" w:rsidP="00013CB0">
      <w:pPr>
        <w:jc w:val="center"/>
      </w:pPr>
      <w:bookmarkStart w:id="0" w:name="_GoBack"/>
      <w:bookmarkEnd w:id="0"/>
      <w:r w:rsidRPr="004F30A7">
        <w:t>Fiscal Year 202</w:t>
      </w:r>
      <w:r w:rsidR="004228A8" w:rsidRPr="004F30A7">
        <w:t>1</w:t>
      </w:r>
      <w:r w:rsidRPr="004F30A7">
        <w:t xml:space="preserve"> Tuition and Required Fees</w:t>
      </w:r>
    </w:p>
    <w:p w14:paraId="657E9183" w14:textId="1B02D9D5" w:rsidR="004F30A7" w:rsidRPr="004F30A7" w:rsidRDefault="004F30A7" w:rsidP="00013CB0">
      <w:pPr>
        <w:jc w:val="center"/>
      </w:pPr>
      <w:r>
        <w:t>UM</w:t>
      </w:r>
    </w:p>
    <w:p w14:paraId="6DC007D7" w14:textId="77777777" w:rsidR="00F14001" w:rsidRPr="004F30A7" w:rsidRDefault="00F14001" w:rsidP="00F14001">
      <w:pPr>
        <w:jc w:val="both"/>
      </w:pPr>
    </w:p>
    <w:p w14:paraId="1626F845" w14:textId="01AD4053" w:rsidR="00266FFA" w:rsidRDefault="0073067A" w:rsidP="00266FFA">
      <w:pPr>
        <w:jc w:val="both"/>
      </w:pPr>
      <w:r>
        <w:t>Following is a summary of FY 202</w:t>
      </w:r>
      <w:r w:rsidR="00725884">
        <w:t>1</w:t>
      </w:r>
      <w:r>
        <w:t xml:space="preserve"> tuition and fee recommendations which are being presented for approval at the </w:t>
      </w:r>
      <w:r w:rsidR="007A6F11">
        <w:t>June 18-19</w:t>
      </w:r>
      <w:r>
        <w:t>, 20</w:t>
      </w:r>
      <w:r w:rsidR="00725884">
        <w:t>20</w:t>
      </w:r>
      <w:r w:rsidRPr="003F353A">
        <w:t xml:space="preserve"> Board</w:t>
      </w:r>
      <w:r>
        <w:t xml:space="preserve"> meeting.  The University of Missouri’s FY </w:t>
      </w:r>
      <w:r w:rsidR="00626A8C">
        <w:t>20</w:t>
      </w:r>
      <w:r>
        <w:t>2</w:t>
      </w:r>
      <w:r w:rsidR="00725884">
        <w:t>1</w:t>
      </w:r>
      <w:r>
        <w:t xml:space="preserve"> tuition and fee recommendations </w:t>
      </w:r>
      <w:r w:rsidR="001F1E04">
        <w:t xml:space="preserve">balance the </w:t>
      </w:r>
      <w:r w:rsidR="00266FFA">
        <w:t xml:space="preserve">financial hardship and uncertainty of our students and their families </w:t>
      </w:r>
      <w:r w:rsidR="00E9678C">
        <w:t xml:space="preserve">with the </w:t>
      </w:r>
      <w:r w:rsidR="009613E4">
        <w:t xml:space="preserve">need to continue to provide a </w:t>
      </w:r>
      <w:proofErr w:type="gramStart"/>
      <w:r w:rsidR="009613E4">
        <w:t>high quality</w:t>
      </w:r>
      <w:proofErr w:type="gramEnd"/>
      <w:r w:rsidR="009613E4">
        <w:t xml:space="preserve"> education to our students.</w:t>
      </w:r>
      <w:r w:rsidR="00E9678C">
        <w:t xml:space="preserve"> T</w:t>
      </w:r>
      <w:r w:rsidR="00266FFA">
        <w:t xml:space="preserve">hese recommendations strive to keep our commitment to student affordability, producing more college graduates who join the state’s highly skilled workforce, and provide </w:t>
      </w:r>
      <w:r w:rsidR="009613E4">
        <w:t xml:space="preserve">high </w:t>
      </w:r>
      <w:r w:rsidR="00266FFA">
        <w:t xml:space="preserve">quality academic programs at a competitive cost. </w:t>
      </w:r>
    </w:p>
    <w:p w14:paraId="4CB665D6" w14:textId="77777777" w:rsidR="00266FFA" w:rsidRDefault="00266FFA" w:rsidP="00266FFA">
      <w:pPr>
        <w:jc w:val="both"/>
      </w:pPr>
    </w:p>
    <w:p w14:paraId="7AF9B225" w14:textId="0466137A" w:rsidR="00F14001" w:rsidRDefault="004F1B41" w:rsidP="00266FFA">
      <w:pPr>
        <w:jc w:val="both"/>
      </w:pPr>
      <w:r>
        <w:t xml:space="preserve">In addition to the FY </w:t>
      </w:r>
      <w:r w:rsidR="00626A8C">
        <w:t>20</w:t>
      </w:r>
      <w:r>
        <w:t xml:space="preserve">21 tuition and fee recommendations, Vice President </w:t>
      </w:r>
      <w:r w:rsidR="00266FFA">
        <w:t xml:space="preserve">Ryan </w:t>
      </w:r>
      <w:r>
        <w:t xml:space="preserve">Rapp will provide an update on </w:t>
      </w:r>
      <w:r w:rsidR="00D33740">
        <w:t>the University’s long-term tuition plans and how the universities are considering changing their pricing strategies to improve predictability for students and encourage degree completion.</w:t>
      </w:r>
    </w:p>
    <w:p w14:paraId="58343D23" w14:textId="77777777" w:rsidR="00F14001" w:rsidRPr="004F30A7" w:rsidRDefault="00F14001" w:rsidP="00F14001">
      <w:pPr>
        <w:jc w:val="both"/>
      </w:pPr>
    </w:p>
    <w:p w14:paraId="671A3FC1" w14:textId="77777777" w:rsidR="00F14001" w:rsidRPr="00DF65EE" w:rsidRDefault="00F14001" w:rsidP="00F14001">
      <w:pPr>
        <w:jc w:val="both"/>
        <w:rPr>
          <w:u w:val="single"/>
        </w:rPr>
      </w:pPr>
      <w:r w:rsidRPr="00DF65EE">
        <w:rPr>
          <w:u w:val="single"/>
        </w:rPr>
        <w:t>Executive Summary</w:t>
      </w:r>
    </w:p>
    <w:p w14:paraId="750CB95C" w14:textId="77777777" w:rsidR="00F14001" w:rsidRPr="004F30A7" w:rsidRDefault="00F14001" w:rsidP="00F14001">
      <w:pPr>
        <w:jc w:val="both"/>
      </w:pPr>
    </w:p>
    <w:p w14:paraId="042FEDFE" w14:textId="77777777" w:rsidR="00DA45E1" w:rsidRDefault="00DA45E1" w:rsidP="00E4116C">
      <w:pPr>
        <w:pStyle w:val="ListParagraph"/>
        <w:numPr>
          <w:ilvl w:val="0"/>
          <w:numId w:val="8"/>
        </w:numPr>
        <w:jc w:val="both"/>
      </w:pPr>
      <w:r>
        <w:t>The University of Missouri</w:t>
      </w:r>
      <w:r w:rsidR="00D33740">
        <w:t xml:space="preserve"> is evaluating changes to current tuition and fee structures.  The current structures across the four universities challenge predictability for students and the rate structures could be improved to encourage faster degree completion to better meet the state’s workforce needs.</w:t>
      </w:r>
    </w:p>
    <w:p w14:paraId="3DC9EE95" w14:textId="77777777" w:rsidR="00EE0886" w:rsidRDefault="00EE0886" w:rsidP="00EE0886">
      <w:pPr>
        <w:pStyle w:val="ListParagraph"/>
      </w:pPr>
    </w:p>
    <w:p w14:paraId="7321CA9A" w14:textId="1A8D3289" w:rsidR="006F5D9F" w:rsidRDefault="006F5D9F" w:rsidP="006F5D9F">
      <w:pPr>
        <w:pStyle w:val="ListParagraph"/>
        <w:widowControl/>
        <w:numPr>
          <w:ilvl w:val="0"/>
          <w:numId w:val="3"/>
        </w:numPr>
        <w:contextualSpacing/>
        <w:jc w:val="both"/>
      </w:pPr>
      <w:r w:rsidRPr="00031EFA">
        <w:t xml:space="preserve">Undergraduate resident tuition rates are </w:t>
      </w:r>
      <w:r>
        <w:t>recommended</w:t>
      </w:r>
      <w:r w:rsidRPr="00031EFA">
        <w:t xml:space="preserve"> to increase by </w:t>
      </w:r>
      <w:r w:rsidR="0055112E">
        <w:t xml:space="preserve">the </w:t>
      </w:r>
      <w:r w:rsidRPr="00031EFA">
        <w:t xml:space="preserve">Higher Education Student Funding Act (HESFA, SB 807 &amp; 577) allowable percent of </w:t>
      </w:r>
      <w:r>
        <w:t>2.3</w:t>
      </w:r>
      <w:r w:rsidRPr="00031EFA">
        <w:t>%.</w:t>
      </w:r>
      <w:r>
        <w:t xml:space="preserve"> </w:t>
      </w:r>
      <w:r w:rsidRPr="005F5842">
        <w:t xml:space="preserve">These rates will be charged to all resident students, but </w:t>
      </w:r>
      <w:r w:rsidR="00A40573">
        <w:t>the</w:t>
      </w:r>
      <w:r w:rsidR="00E87200">
        <w:t xml:space="preserve"> 1.6% increase from FY</w:t>
      </w:r>
      <w:r w:rsidR="00B930CD">
        <w:t xml:space="preserve"> 20</w:t>
      </w:r>
      <w:r w:rsidR="00E87200">
        <w:t>20 wil</w:t>
      </w:r>
      <w:r w:rsidRPr="005F5842">
        <w:t xml:space="preserve">l </w:t>
      </w:r>
      <w:r w:rsidR="00B930CD">
        <w:t>continue to be</w:t>
      </w:r>
      <w:r w:rsidRPr="005F5842">
        <w:t xml:space="preserve"> waived to </w:t>
      </w:r>
      <w:r w:rsidR="00E87200">
        <w:t xml:space="preserve">keep the student assessed </w:t>
      </w:r>
      <w:r w:rsidR="001B034F">
        <w:t xml:space="preserve">amount </w:t>
      </w:r>
      <w:r w:rsidR="00B930CD">
        <w:t xml:space="preserve">equal to only </w:t>
      </w:r>
      <w:r w:rsidR="004D5BF0">
        <w:t>the allowed FY</w:t>
      </w:r>
      <w:r w:rsidR="001B034F">
        <w:t xml:space="preserve"> </w:t>
      </w:r>
      <w:r w:rsidR="004D5BF0">
        <w:t xml:space="preserve">2021 </w:t>
      </w:r>
      <w:r w:rsidR="00B930CD">
        <w:t>inflationary increase</w:t>
      </w:r>
      <w:r w:rsidRPr="005F5842">
        <w:t>.</w:t>
      </w:r>
      <w:r>
        <w:t xml:space="preserve">  </w:t>
      </w:r>
      <w:r w:rsidRPr="00031EFA">
        <w:t xml:space="preserve"> </w:t>
      </w:r>
    </w:p>
    <w:p w14:paraId="35D8817F" w14:textId="77777777" w:rsidR="004F30A7" w:rsidRPr="00031EFA" w:rsidRDefault="004F30A7" w:rsidP="004F30A7">
      <w:pPr>
        <w:pStyle w:val="ListParagraph"/>
        <w:widowControl/>
        <w:ind w:left="360"/>
        <w:contextualSpacing/>
        <w:jc w:val="both"/>
      </w:pPr>
    </w:p>
    <w:p w14:paraId="74F6CEF6" w14:textId="57201743" w:rsidR="006F5D9F" w:rsidRDefault="00665DCE" w:rsidP="00DD3607">
      <w:pPr>
        <w:pStyle w:val="ListParagraph"/>
        <w:widowControl/>
        <w:tabs>
          <w:tab w:val="left" w:pos="3510"/>
        </w:tabs>
        <w:ind w:left="360"/>
        <w:contextualSpacing/>
        <w:jc w:val="center"/>
      </w:pPr>
      <w:r w:rsidRPr="00665DCE">
        <w:rPr>
          <w:noProof/>
        </w:rPr>
        <w:drawing>
          <wp:inline distT="0" distB="0" distL="0" distR="0" wp14:anchorId="60127A83" wp14:editId="53D96C64">
            <wp:extent cx="5215255" cy="18046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255" cy="1804670"/>
                    </a:xfrm>
                    <a:prstGeom prst="rect">
                      <a:avLst/>
                    </a:prstGeom>
                    <a:noFill/>
                    <a:ln>
                      <a:noFill/>
                    </a:ln>
                  </pic:spPr>
                </pic:pic>
              </a:graphicData>
            </a:graphic>
          </wp:inline>
        </w:drawing>
      </w:r>
    </w:p>
    <w:p w14:paraId="1F314CDB" w14:textId="42BC868D" w:rsidR="00F14001" w:rsidRDefault="00F14001" w:rsidP="004F30A7">
      <w:pPr>
        <w:pStyle w:val="ListParagraph"/>
        <w:keepNext/>
        <w:keepLines/>
        <w:widowControl/>
        <w:numPr>
          <w:ilvl w:val="0"/>
          <w:numId w:val="3"/>
        </w:numPr>
        <w:tabs>
          <w:tab w:val="left" w:pos="3510"/>
        </w:tabs>
        <w:contextualSpacing/>
        <w:jc w:val="both"/>
      </w:pPr>
      <w:r>
        <w:lastRenderedPageBreak/>
        <w:t xml:space="preserve">Undergraduate nonresident and graduate tuition rates are proposed to increase </w:t>
      </w:r>
      <w:r w:rsidR="00B71D68">
        <w:t>by</w:t>
      </w:r>
      <w:r>
        <w:t xml:space="preserve"> </w:t>
      </w:r>
      <w:r w:rsidR="00944C41">
        <w:t>2.3</w:t>
      </w:r>
      <w:r>
        <w:t>% except for S&amp;T</w:t>
      </w:r>
      <w:r w:rsidR="00693F28">
        <w:t>’s</w:t>
      </w:r>
      <w:r>
        <w:t xml:space="preserve"> graduate rate</w:t>
      </w:r>
      <w:r w:rsidR="00B26594">
        <w:t>s</w:t>
      </w:r>
      <w:r w:rsidR="00B71D68">
        <w:t xml:space="preserve"> which remain flat. </w:t>
      </w:r>
    </w:p>
    <w:p w14:paraId="4540DD24" w14:textId="5598E1B6" w:rsidR="00D5382A" w:rsidRDefault="00D5382A" w:rsidP="004F30A7">
      <w:pPr>
        <w:keepNext/>
        <w:keepLines/>
        <w:tabs>
          <w:tab w:val="left" w:pos="3510"/>
        </w:tabs>
        <w:contextualSpacing/>
        <w:jc w:val="center"/>
      </w:pPr>
      <w:r w:rsidRPr="00D5382A">
        <w:rPr>
          <w:noProof/>
        </w:rPr>
        <w:drawing>
          <wp:inline distT="0" distB="0" distL="0" distR="0" wp14:anchorId="5E7C7548" wp14:editId="7CBF6529">
            <wp:extent cx="3720465" cy="1493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0465" cy="1493520"/>
                    </a:xfrm>
                    <a:prstGeom prst="rect">
                      <a:avLst/>
                    </a:prstGeom>
                    <a:noFill/>
                    <a:ln>
                      <a:noFill/>
                    </a:ln>
                  </pic:spPr>
                </pic:pic>
              </a:graphicData>
            </a:graphic>
          </wp:inline>
        </w:drawing>
      </w:r>
    </w:p>
    <w:p w14:paraId="1EBB149D" w14:textId="77777777" w:rsidR="00F14001" w:rsidRDefault="00F14001" w:rsidP="00F14001">
      <w:pPr>
        <w:tabs>
          <w:tab w:val="left" w:pos="3510"/>
        </w:tabs>
        <w:contextualSpacing/>
        <w:jc w:val="both"/>
      </w:pPr>
    </w:p>
    <w:p w14:paraId="0A128A0E" w14:textId="37FEE525" w:rsidR="00F14001" w:rsidRPr="0068454D" w:rsidRDefault="00F14001" w:rsidP="00F14001">
      <w:pPr>
        <w:pStyle w:val="ListParagraph"/>
        <w:widowControl/>
        <w:numPr>
          <w:ilvl w:val="0"/>
          <w:numId w:val="3"/>
        </w:numPr>
        <w:contextualSpacing/>
        <w:jc w:val="both"/>
      </w:pPr>
      <w:r w:rsidRPr="0068454D">
        <w:t xml:space="preserve">Professional school tuition rates are </w:t>
      </w:r>
      <w:r w:rsidR="000C3C43" w:rsidRPr="0068454D">
        <w:t xml:space="preserve">recommended </w:t>
      </w:r>
      <w:r w:rsidRPr="0068454D">
        <w:t>to increase from 1.</w:t>
      </w:r>
      <w:r w:rsidR="00CC0164" w:rsidRPr="0068454D">
        <w:t>4</w:t>
      </w:r>
      <w:r w:rsidRPr="0068454D">
        <w:t xml:space="preserve">% to </w:t>
      </w:r>
      <w:r w:rsidR="008B46C1">
        <w:t>6.0</w:t>
      </w:r>
      <w:r w:rsidRPr="0068454D">
        <w:t xml:space="preserve">% depending on the program. </w:t>
      </w:r>
    </w:p>
    <w:p w14:paraId="0446E559" w14:textId="77777777" w:rsidR="00D33740" w:rsidRDefault="00D33740" w:rsidP="00E4116C">
      <w:pPr>
        <w:pStyle w:val="ListParagraph"/>
        <w:widowControl/>
        <w:ind w:left="360"/>
        <w:contextualSpacing/>
        <w:jc w:val="both"/>
      </w:pPr>
    </w:p>
    <w:p w14:paraId="0A2E7F1F" w14:textId="3B3EFA70" w:rsidR="004F30A7" w:rsidRDefault="00CC0164" w:rsidP="00CC0164">
      <w:pPr>
        <w:pStyle w:val="ListParagraph"/>
        <w:widowControl/>
        <w:numPr>
          <w:ilvl w:val="0"/>
          <w:numId w:val="3"/>
        </w:numPr>
        <w:spacing w:after="160" w:line="259" w:lineRule="auto"/>
        <w:contextualSpacing/>
        <w:jc w:val="both"/>
      </w:pPr>
      <w:r w:rsidRPr="00E4116C">
        <w:t>Required fees are recommended to</w:t>
      </w:r>
      <w:r w:rsidR="008B46C1">
        <w:t xml:space="preserve"> increase at CPI or 2.3%</w:t>
      </w:r>
      <w:r w:rsidR="0068454D">
        <w:t xml:space="preserve"> for</w:t>
      </w:r>
      <w:r w:rsidRPr="00E4116C">
        <w:t xml:space="preserve"> </w:t>
      </w:r>
      <w:r w:rsidR="000D7B52">
        <w:t>UMKC</w:t>
      </w:r>
      <w:r w:rsidRPr="00E4116C">
        <w:t xml:space="preserve"> and S&amp;T</w:t>
      </w:r>
      <w:r w:rsidR="0068454D">
        <w:t>.</w:t>
      </w:r>
      <w:r w:rsidRPr="00E4116C">
        <w:t xml:space="preserve">  </w:t>
      </w:r>
      <w:r w:rsidR="00653223">
        <w:t>MU has one new student referendum approved fee</w:t>
      </w:r>
      <w:r w:rsidR="00ED0983">
        <w:t xml:space="preserve"> </w:t>
      </w:r>
      <w:r w:rsidR="00EA1145">
        <w:t xml:space="preserve">for student media </w:t>
      </w:r>
      <w:r w:rsidR="00ED0983">
        <w:t>which make</w:t>
      </w:r>
      <w:r w:rsidR="007339EA">
        <w:t>s</w:t>
      </w:r>
      <w:r w:rsidR="00ED0983">
        <w:t xml:space="preserve"> the overall increase 2.8%.</w:t>
      </w:r>
    </w:p>
    <w:p w14:paraId="2ED94BE5" w14:textId="0C0A8A74" w:rsidR="00CC0164" w:rsidRPr="003445DB" w:rsidRDefault="00CC0164" w:rsidP="004F30A7">
      <w:pPr>
        <w:spacing w:after="160" w:line="259" w:lineRule="auto"/>
        <w:contextualSpacing/>
        <w:jc w:val="both"/>
      </w:pPr>
      <w:r>
        <w:br w:type="page"/>
      </w:r>
    </w:p>
    <w:p w14:paraId="1E0026D9" w14:textId="3EFCBC32" w:rsidR="00071F39" w:rsidRPr="0074518B" w:rsidRDefault="00071F39" w:rsidP="00071F39">
      <w:pPr>
        <w:tabs>
          <w:tab w:val="left" w:pos="3510"/>
        </w:tabs>
        <w:contextualSpacing/>
        <w:jc w:val="both"/>
      </w:pPr>
      <w:r w:rsidRPr="0074518B">
        <w:lastRenderedPageBreak/>
        <w:t xml:space="preserve">No. </w:t>
      </w:r>
      <w:r w:rsidR="004F30A7">
        <w:t>3</w:t>
      </w:r>
    </w:p>
    <w:p w14:paraId="06DF0423" w14:textId="77777777" w:rsidR="00071F39" w:rsidRDefault="00071F39" w:rsidP="00071F39"/>
    <w:p w14:paraId="34AE7A1F" w14:textId="77777777" w:rsidR="00071F39" w:rsidRDefault="00071F39" w:rsidP="00071F39"/>
    <w:p w14:paraId="248FD513" w14:textId="77777777" w:rsidR="00071F39" w:rsidRPr="0074518B" w:rsidRDefault="00071F39" w:rsidP="00071F39"/>
    <w:p w14:paraId="3CEDFD43" w14:textId="6B22702C" w:rsidR="00071F39" w:rsidRDefault="00071F39" w:rsidP="00071F39">
      <w:pPr>
        <w:ind w:left="2700" w:hanging="2700"/>
      </w:pPr>
      <w:r w:rsidRPr="0074518B">
        <w:t>Recomm</w:t>
      </w:r>
      <w:r>
        <w:t xml:space="preserve">ended Action - </w:t>
      </w:r>
      <w:r>
        <w:tab/>
        <w:t>Fiscal Year 2021</w:t>
      </w:r>
      <w:r w:rsidRPr="0074518B">
        <w:t xml:space="preserve"> Tuition and Required Fee</w:t>
      </w:r>
      <w:r>
        <w:t>s, UM</w:t>
      </w:r>
    </w:p>
    <w:p w14:paraId="1119D87F" w14:textId="77777777" w:rsidR="00071F39" w:rsidRDefault="00071F39" w:rsidP="00071F39">
      <w:pPr>
        <w:ind w:left="2700" w:hanging="2700"/>
      </w:pPr>
    </w:p>
    <w:p w14:paraId="566C117B" w14:textId="0B6E29E8" w:rsidR="00071F39" w:rsidRDefault="00071F39" w:rsidP="00071F39"/>
    <w:p w14:paraId="0E746C95" w14:textId="77777777" w:rsidR="004F30A7" w:rsidRDefault="004F30A7" w:rsidP="00071F39"/>
    <w:p w14:paraId="0AE77C1F" w14:textId="3EAB01BB" w:rsidR="00071F39" w:rsidRPr="00806146" w:rsidRDefault="00071F39" w:rsidP="00071F39">
      <w:pPr>
        <w:spacing w:line="480" w:lineRule="auto"/>
        <w:jc w:val="both"/>
      </w:pPr>
      <w:r w:rsidRPr="00806146">
        <w:tab/>
      </w:r>
      <w:r w:rsidRPr="00806146">
        <w:tab/>
        <w:t>It was recommended by the resp</w:t>
      </w:r>
      <w:r>
        <w:t xml:space="preserve">ective Chancellors, endorsed by </w:t>
      </w:r>
      <w:r w:rsidRPr="00806146">
        <w:t xml:space="preserve">President </w:t>
      </w:r>
      <w:r>
        <w:t>Choi</w:t>
      </w:r>
      <w:r w:rsidRPr="00806146">
        <w:t xml:space="preserve">, recommended by the Finance Committee, moved by Curator ___________________ and </w:t>
      </w:r>
      <w:r>
        <w:t>s</w:t>
      </w:r>
      <w:r w:rsidRPr="00806146">
        <w:t>econded by Curator ________________, that the attached schedule</w:t>
      </w:r>
      <w:r>
        <w:t>s</w:t>
      </w:r>
      <w:r w:rsidRPr="00806146">
        <w:t xml:space="preserve"> of rates for tuition</w:t>
      </w:r>
      <w:r>
        <w:t>,</w:t>
      </w:r>
      <w:r w:rsidRPr="00806146">
        <w:t xml:space="preserve"> </w:t>
      </w:r>
      <w:r>
        <w:t>information technology fees, and student activity, facility and service fees, be approved,</w:t>
      </w:r>
      <w:r w:rsidRPr="00806146">
        <w:t xml:space="preserve"> </w:t>
      </w:r>
      <w:r w:rsidRPr="00EF6022">
        <w:t xml:space="preserve">effective </w:t>
      </w:r>
      <w:r>
        <w:t xml:space="preserve">with </w:t>
      </w:r>
      <w:r w:rsidRPr="00DC7418">
        <w:t>the 20</w:t>
      </w:r>
      <w:r>
        <w:t>20</w:t>
      </w:r>
      <w:r w:rsidRPr="00DC7418">
        <w:t xml:space="preserve"> fall term</w:t>
      </w:r>
      <w:r w:rsidRPr="00EF6022">
        <w:t>.</w:t>
      </w:r>
    </w:p>
    <w:p w14:paraId="6D915BF8" w14:textId="3E3CB5BE" w:rsidR="00071F39" w:rsidRPr="00215468" w:rsidRDefault="00071F39" w:rsidP="00071F39">
      <w:pPr>
        <w:widowControl w:val="0"/>
        <w:numPr>
          <w:ilvl w:val="0"/>
          <w:numId w:val="13"/>
        </w:numPr>
        <w:tabs>
          <w:tab w:val="left" w:pos="-1440"/>
        </w:tabs>
        <w:jc w:val="both"/>
      </w:pPr>
      <w:r w:rsidRPr="00215468">
        <w:t xml:space="preserve">Tuition and information technology fees as shown in the attached schedules and described in the Board materials be approved and become effective beginning with the 2020 fall term.  </w:t>
      </w:r>
      <w:r w:rsidR="00D36B65" w:rsidRPr="00215468">
        <w:t>Specifically,</w:t>
      </w:r>
      <w:r w:rsidRPr="00215468">
        <w:t xml:space="preserve"> this includes:</w:t>
      </w:r>
    </w:p>
    <w:p w14:paraId="7C822776" w14:textId="77777777" w:rsidR="00071F39" w:rsidRPr="007A6F11" w:rsidRDefault="00071F39" w:rsidP="00071F39">
      <w:pPr>
        <w:widowControl w:val="0"/>
        <w:tabs>
          <w:tab w:val="left" w:pos="-1440"/>
        </w:tabs>
        <w:ind w:left="1080"/>
        <w:jc w:val="both"/>
      </w:pPr>
    </w:p>
    <w:p w14:paraId="2830C923" w14:textId="77777777" w:rsidR="00071F39" w:rsidRPr="007A6F11" w:rsidRDefault="00071F39" w:rsidP="00071F39">
      <w:pPr>
        <w:widowControl w:val="0"/>
        <w:numPr>
          <w:ilvl w:val="1"/>
          <w:numId w:val="13"/>
        </w:numPr>
        <w:tabs>
          <w:tab w:val="clear" w:pos="1800"/>
          <w:tab w:val="left" w:pos="-1440"/>
          <w:tab w:val="num" w:pos="1440"/>
        </w:tabs>
        <w:ind w:left="1440"/>
        <w:jc w:val="both"/>
      </w:pPr>
      <w:r w:rsidRPr="007A6F11">
        <w:t>Tuition rates to increase as follows:</w:t>
      </w:r>
    </w:p>
    <w:p w14:paraId="4EF98628" w14:textId="4FC4B2E7" w:rsidR="007A6F11" w:rsidRPr="0011212E" w:rsidRDefault="007A6F11" w:rsidP="007A6F11">
      <w:pPr>
        <w:widowControl w:val="0"/>
        <w:numPr>
          <w:ilvl w:val="2"/>
          <w:numId w:val="13"/>
        </w:numPr>
        <w:tabs>
          <w:tab w:val="clear" w:pos="2520"/>
          <w:tab w:val="left" w:pos="-1440"/>
          <w:tab w:val="num" w:pos="1800"/>
        </w:tabs>
        <w:ind w:left="1800"/>
        <w:jc w:val="both"/>
      </w:pPr>
      <w:r>
        <w:t xml:space="preserve">Resident </w:t>
      </w:r>
      <w:r w:rsidRPr="007A6F11">
        <w:t>undergraduate</w:t>
      </w:r>
      <w:r w:rsidRPr="00D401DF">
        <w:t xml:space="preserve"> tuition to increase by 2.3%. For fall 2020 and spring and</w:t>
      </w:r>
      <w:r w:rsidRPr="00215468">
        <w:t xml:space="preserve"> summer 202</w:t>
      </w:r>
      <w:r>
        <w:t>1</w:t>
      </w:r>
      <w:r w:rsidRPr="00215468">
        <w:t xml:space="preserve"> terms, resident undergraduate students will be assessed </w:t>
      </w:r>
      <w:r w:rsidR="004F08BA">
        <w:t>the 2.3%</w:t>
      </w:r>
      <w:r>
        <w:t xml:space="preserve"> increase with </w:t>
      </w:r>
      <w:r w:rsidR="004F08BA">
        <w:t xml:space="preserve">the </w:t>
      </w:r>
      <w:r>
        <w:t xml:space="preserve">prior year waivers carried forward.  </w:t>
      </w:r>
      <w:r w:rsidRPr="00215468">
        <w:t xml:space="preserve">The President is directed to use his authority under CRR 230.010.C to waive tuition so resident undergraduate students </w:t>
      </w:r>
      <w:r w:rsidR="004F08BA">
        <w:t xml:space="preserve">only pay the 2.3% increase and continue the same waiver as provided in </w:t>
      </w:r>
      <w:r>
        <w:t>FY</w:t>
      </w:r>
      <w:r w:rsidR="004F08BA">
        <w:t xml:space="preserve"> 20</w:t>
      </w:r>
      <w:r>
        <w:t>20</w:t>
      </w:r>
      <w:r w:rsidR="004F08BA">
        <w:t>. T</w:t>
      </w:r>
      <w:r w:rsidRPr="00215468">
        <w:t xml:space="preserve">he President may withdraw such waiver and require payment </w:t>
      </w:r>
      <w:r>
        <w:t xml:space="preserve">up to the maximum assessed rate </w:t>
      </w:r>
      <w:r w:rsidRPr="00215468">
        <w:t xml:space="preserve">in the event financial circumstances warrant.  </w:t>
      </w:r>
    </w:p>
    <w:p w14:paraId="28767397" w14:textId="04EA597F" w:rsidR="00071F39" w:rsidRDefault="00071F39" w:rsidP="00071F39">
      <w:pPr>
        <w:widowControl w:val="0"/>
        <w:numPr>
          <w:ilvl w:val="2"/>
          <w:numId w:val="13"/>
        </w:numPr>
        <w:tabs>
          <w:tab w:val="clear" w:pos="2520"/>
          <w:tab w:val="left" w:pos="-1440"/>
          <w:tab w:val="num" w:pos="1800"/>
        </w:tabs>
        <w:ind w:left="1800"/>
        <w:jc w:val="both"/>
      </w:pPr>
      <w:r w:rsidRPr="0011212E">
        <w:t xml:space="preserve">Nonresident undergraduate and graduate tuition rates are proposed to increase </w:t>
      </w:r>
      <w:r w:rsidR="00215468" w:rsidRPr="0011212E">
        <w:t>by</w:t>
      </w:r>
      <w:r w:rsidRPr="0011212E">
        <w:t xml:space="preserve"> </w:t>
      </w:r>
      <w:r w:rsidR="0073067A" w:rsidRPr="0011212E">
        <w:t>2.3</w:t>
      </w:r>
      <w:r w:rsidRPr="0011212E">
        <w:t xml:space="preserve">% </w:t>
      </w:r>
      <w:r w:rsidR="00215468" w:rsidRPr="0011212E">
        <w:t>e</w:t>
      </w:r>
      <w:r w:rsidRPr="0011212E">
        <w:t xml:space="preserve">xcept for </w:t>
      </w:r>
      <w:r w:rsidR="00B71D68">
        <w:t xml:space="preserve">the </w:t>
      </w:r>
      <w:r w:rsidRPr="0011212E">
        <w:t xml:space="preserve">S&amp;T nonresident graduate rate </w:t>
      </w:r>
      <w:r w:rsidR="00B71D68">
        <w:t>which will not be changed.</w:t>
      </w:r>
    </w:p>
    <w:p w14:paraId="633D2A04" w14:textId="48A9399B" w:rsidR="00071F39" w:rsidRPr="0011212E" w:rsidRDefault="00071F39" w:rsidP="00071F39">
      <w:pPr>
        <w:widowControl w:val="0"/>
        <w:numPr>
          <w:ilvl w:val="2"/>
          <w:numId w:val="13"/>
        </w:numPr>
        <w:tabs>
          <w:tab w:val="clear" w:pos="2520"/>
          <w:tab w:val="left" w:pos="-1440"/>
          <w:tab w:val="num" w:pos="1800"/>
        </w:tabs>
        <w:ind w:left="1800"/>
        <w:jc w:val="both"/>
      </w:pPr>
      <w:r w:rsidRPr="0011212E">
        <w:t xml:space="preserve">S&amp;T will increase international undergraduate tuition by </w:t>
      </w:r>
      <w:r w:rsidR="00215468" w:rsidRPr="0011212E">
        <w:t>2.3</w:t>
      </w:r>
      <w:r w:rsidRPr="0011212E">
        <w:t>%. Tuition for international graduate students will not be changed.</w:t>
      </w:r>
    </w:p>
    <w:p w14:paraId="3C81C434" w14:textId="00E56760" w:rsidR="00071F39" w:rsidRPr="0011212E" w:rsidRDefault="00071F39" w:rsidP="00071F39">
      <w:pPr>
        <w:widowControl w:val="0"/>
        <w:numPr>
          <w:ilvl w:val="2"/>
          <w:numId w:val="13"/>
        </w:numPr>
        <w:tabs>
          <w:tab w:val="clear" w:pos="2520"/>
          <w:tab w:val="left" w:pos="-1440"/>
          <w:tab w:val="num" w:pos="1800"/>
        </w:tabs>
        <w:ind w:left="1800"/>
        <w:jc w:val="both"/>
      </w:pPr>
      <w:r w:rsidRPr="0011212E">
        <w:t xml:space="preserve">UMSL Illinois undergraduate </w:t>
      </w:r>
      <w:r w:rsidR="00215468" w:rsidRPr="0011212E">
        <w:t xml:space="preserve">and graduate </w:t>
      </w:r>
      <w:r w:rsidRPr="0011212E">
        <w:t xml:space="preserve">tuition to increase by </w:t>
      </w:r>
      <w:r w:rsidR="0073067A" w:rsidRPr="0011212E">
        <w:t>2.3</w:t>
      </w:r>
      <w:r w:rsidRPr="0011212E">
        <w:t>%</w:t>
      </w:r>
    </w:p>
    <w:p w14:paraId="5950D62E" w14:textId="01B0F083" w:rsidR="00071F39" w:rsidRPr="0011212E" w:rsidRDefault="00071F39" w:rsidP="00071F39">
      <w:pPr>
        <w:widowControl w:val="0"/>
        <w:numPr>
          <w:ilvl w:val="2"/>
          <w:numId w:val="13"/>
        </w:numPr>
        <w:tabs>
          <w:tab w:val="clear" w:pos="2520"/>
          <w:tab w:val="left" w:pos="-1440"/>
          <w:tab w:val="num" w:pos="1800"/>
        </w:tabs>
        <w:ind w:left="1800"/>
        <w:jc w:val="both"/>
      </w:pPr>
      <w:r w:rsidRPr="0011212E">
        <w:t xml:space="preserve">UMKC Kansas and Heartland undergraduate tuition to increase by </w:t>
      </w:r>
      <w:r w:rsidR="0073067A" w:rsidRPr="0011212E">
        <w:t>2.3</w:t>
      </w:r>
      <w:r w:rsidRPr="0011212E">
        <w:t>%.</w:t>
      </w:r>
    </w:p>
    <w:p w14:paraId="0D359402" w14:textId="56A126BF" w:rsidR="00071F39" w:rsidRPr="0011212E" w:rsidRDefault="00071F39" w:rsidP="00071F39">
      <w:pPr>
        <w:widowControl w:val="0"/>
        <w:numPr>
          <w:ilvl w:val="2"/>
          <w:numId w:val="13"/>
        </w:numPr>
        <w:tabs>
          <w:tab w:val="clear" w:pos="2520"/>
          <w:tab w:val="left" w:pos="-1440"/>
          <w:tab w:val="num" w:pos="1800"/>
        </w:tabs>
        <w:ind w:left="1800"/>
        <w:jc w:val="both"/>
      </w:pPr>
      <w:r w:rsidRPr="0011212E">
        <w:t>Professional school tuition to increase from 1.</w:t>
      </w:r>
      <w:r w:rsidR="00215468" w:rsidRPr="0011212E">
        <w:t>4</w:t>
      </w:r>
      <w:r w:rsidRPr="0011212E">
        <w:t xml:space="preserve">% to </w:t>
      </w:r>
      <w:r w:rsidR="00215468" w:rsidRPr="0011212E">
        <w:t>6</w:t>
      </w:r>
      <w:r w:rsidRPr="0011212E">
        <w:t>%</w:t>
      </w:r>
      <w:r w:rsidR="00215468" w:rsidRPr="0011212E">
        <w:t>.</w:t>
      </w:r>
      <w:r w:rsidRPr="0011212E">
        <w:t xml:space="preserve"> </w:t>
      </w:r>
    </w:p>
    <w:p w14:paraId="3411E85C" w14:textId="77777777" w:rsidR="00071F39" w:rsidRPr="0011212E" w:rsidRDefault="00071F39" w:rsidP="00071F39">
      <w:pPr>
        <w:widowControl w:val="0"/>
        <w:tabs>
          <w:tab w:val="left" w:pos="-1440"/>
        </w:tabs>
        <w:ind w:left="2520"/>
        <w:jc w:val="both"/>
        <w:rPr>
          <w:sz w:val="16"/>
          <w:szCs w:val="16"/>
        </w:rPr>
      </w:pPr>
    </w:p>
    <w:p w14:paraId="2E0BE1D2" w14:textId="281934D0" w:rsidR="00071F39" w:rsidRPr="0011212E" w:rsidRDefault="00071F39" w:rsidP="00071F39">
      <w:pPr>
        <w:pStyle w:val="ListParagraph"/>
        <w:widowControl/>
        <w:numPr>
          <w:ilvl w:val="1"/>
          <w:numId w:val="13"/>
        </w:numPr>
        <w:tabs>
          <w:tab w:val="clear" w:pos="1800"/>
          <w:tab w:val="num" w:pos="1440"/>
        </w:tabs>
        <w:ind w:left="1440"/>
        <w:jc w:val="both"/>
        <w:outlineLvl w:val="0"/>
      </w:pPr>
      <w:r w:rsidRPr="0011212E">
        <w:t xml:space="preserve">Information Technology fee </w:t>
      </w:r>
      <w:r w:rsidR="00982455" w:rsidRPr="0011212E">
        <w:t>will increase</w:t>
      </w:r>
      <w:r w:rsidR="0011212E" w:rsidRPr="0011212E">
        <w:t xml:space="preserve"> by 2.3%</w:t>
      </w:r>
      <w:r w:rsidRPr="0011212E">
        <w:t>.</w:t>
      </w:r>
    </w:p>
    <w:p w14:paraId="18E30B4F" w14:textId="77777777" w:rsidR="00071F39" w:rsidRPr="0011212E" w:rsidRDefault="00071F39" w:rsidP="00071F39">
      <w:pPr>
        <w:pStyle w:val="ListParagraph"/>
        <w:widowControl/>
        <w:ind w:left="1800"/>
        <w:jc w:val="both"/>
        <w:outlineLvl w:val="0"/>
        <w:rPr>
          <w:sz w:val="16"/>
          <w:szCs w:val="16"/>
        </w:rPr>
      </w:pPr>
    </w:p>
    <w:p w14:paraId="59359D41" w14:textId="5F0BF96F" w:rsidR="00071F39" w:rsidRPr="0011212E" w:rsidRDefault="00071F39" w:rsidP="00071F39">
      <w:pPr>
        <w:pStyle w:val="ListParagraph"/>
        <w:widowControl/>
        <w:numPr>
          <w:ilvl w:val="0"/>
          <w:numId w:val="13"/>
        </w:numPr>
        <w:jc w:val="both"/>
        <w:outlineLvl w:val="0"/>
      </w:pPr>
      <w:r w:rsidRPr="0011212E">
        <w:t>Student activity, facility and service fees as shown in the attached schedule and described in the Board materials be approved and become effective beginning with the 20</w:t>
      </w:r>
      <w:r w:rsidR="0073067A" w:rsidRPr="0011212E">
        <w:t>20</w:t>
      </w:r>
      <w:r w:rsidRPr="0011212E">
        <w:t xml:space="preserve"> fall term.</w:t>
      </w:r>
    </w:p>
    <w:p w14:paraId="78DEB25B" w14:textId="141C020B" w:rsidR="00071F39" w:rsidRPr="00653223" w:rsidRDefault="00071F39" w:rsidP="00071F39">
      <w:pPr>
        <w:pStyle w:val="ListParagraph"/>
        <w:widowControl/>
        <w:ind w:left="1080"/>
        <w:jc w:val="both"/>
        <w:outlineLvl w:val="0"/>
        <w:rPr>
          <w:sz w:val="16"/>
          <w:szCs w:val="16"/>
          <w:highlight w:val="yellow"/>
        </w:rPr>
      </w:pPr>
      <w:r w:rsidRPr="00653223">
        <w:rPr>
          <w:highlight w:val="yellow"/>
        </w:rPr>
        <w:t xml:space="preserve"> </w:t>
      </w:r>
    </w:p>
    <w:p w14:paraId="126D54E8" w14:textId="4D3C022E" w:rsidR="00071F39" w:rsidRPr="0011212E" w:rsidRDefault="00071F39" w:rsidP="00071F39">
      <w:pPr>
        <w:widowControl w:val="0"/>
        <w:numPr>
          <w:ilvl w:val="0"/>
          <w:numId w:val="13"/>
        </w:numPr>
        <w:tabs>
          <w:tab w:val="left" w:pos="-1440"/>
        </w:tabs>
        <w:jc w:val="both"/>
      </w:pPr>
      <w:r w:rsidRPr="0011212E">
        <w:lastRenderedPageBreak/>
        <w:t>Effective beginning with the 20</w:t>
      </w:r>
      <w:r w:rsidR="0073067A" w:rsidRPr="0011212E">
        <w:t>20</w:t>
      </w:r>
      <w:r w:rsidRPr="0011212E">
        <w:t xml:space="preserve"> fall term, the Board of Curators revokes and repeals all previous tuition and required fee schedules and adopts the attached tuition and required fees rate schedules.  The Board finds such action to be necessary for the maintenance and operation of the University.</w:t>
      </w:r>
    </w:p>
    <w:p w14:paraId="075F07E6" w14:textId="77777777" w:rsidR="00071F39" w:rsidRPr="00151937" w:rsidRDefault="00071F39" w:rsidP="00071F39">
      <w:pPr>
        <w:spacing w:line="480" w:lineRule="auto"/>
        <w:jc w:val="both"/>
        <w:rPr>
          <w:sz w:val="16"/>
          <w:szCs w:val="16"/>
        </w:rPr>
      </w:pPr>
    </w:p>
    <w:p w14:paraId="63BEBE32" w14:textId="77777777" w:rsidR="00071F39" w:rsidRPr="00832E2A" w:rsidRDefault="00071F39" w:rsidP="00071F39">
      <w:pPr>
        <w:ind w:left="720"/>
      </w:pPr>
      <w:r w:rsidRPr="00832E2A">
        <w:t>Roll call vote Finance Committee:</w:t>
      </w:r>
      <w:r w:rsidRPr="00832E2A">
        <w:tab/>
      </w:r>
      <w:r w:rsidRPr="00832E2A">
        <w:tab/>
        <w:t xml:space="preserve">YES </w:t>
      </w:r>
      <w:r w:rsidRPr="00832E2A">
        <w:tab/>
      </w:r>
      <w:r w:rsidRPr="00832E2A">
        <w:tab/>
        <w:t>NO</w:t>
      </w:r>
    </w:p>
    <w:p w14:paraId="2793747C" w14:textId="77777777" w:rsidR="00071F39" w:rsidRPr="00151937" w:rsidRDefault="00071F39" w:rsidP="00071F39">
      <w:pPr>
        <w:ind w:left="720"/>
        <w:rPr>
          <w:sz w:val="16"/>
          <w:szCs w:val="16"/>
        </w:rPr>
      </w:pPr>
    </w:p>
    <w:p w14:paraId="0F0CCCED" w14:textId="77777777" w:rsidR="0073067A" w:rsidRPr="00D644D5" w:rsidRDefault="0073067A" w:rsidP="0073067A">
      <w:pPr>
        <w:ind w:left="720"/>
      </w:pPr>
      <w:r w:rsidRPr="00D644D5">
        <w:t>Curator Chatman</w:t>
      </w:r>
    </w:p>
    <w:p w14:paraId="791E6A93" w14:textId="77777777" w:rsidR="0073067A" w:rsidRDefault="0073067A" w:rsidP="0073067A">
      <w:pPr>
        <w:ind w:left="720"/>
      </w:pPr>
      <w:r w:rsidRPr="00D644D5">
        <w:t xml:space="preserve">Curator </w:t>
      </w:r>
      <w:r>
        <w:t>Hoberock</w:t>
      </w:r>
    </w:p>
    <w:p w14:paraId="4C949AB1" w14:textId="77777777" w:rsidR="00875B58" w:rsidRDefault="00875B58" w:rsidP="00875B58">
      <w:pPr>
        <w:ind w:left="720"/>
      </w:pPr>
      <w:r>
        <w:t>Curator Steelman</w:t>
      </w:r>
    </w:p>
    <w:p w14:paraId="1EEB7860" w14:textId="77777777" w:rsidR="0073067A" w:rsidRPr="00D644D5" w:rsidRDefault="0073067A" w:rsidP="0073067A">
      <w:pPr>
        <w:ind w:left="720"/>
      </w:pPr>
      <w:r>
        <w:t>Curator Williams</w:t>
      </w:r>
    </w:p>
    <w:p w14:paraId="37571FDD" w14:textId="77777777" w:rsidR="00071F39" w:rsidRPr="00151937" w:rsidRDefault="00071F39" w:rsidP="00071F39">
      <w:pPr>
        <w:ind w:left="720"/>
        <w:rPr>
          <w:sz w:val="16"/>
          <w:szCs w:val="16"/>
        </w:rPr>
      </w:pPr>
    </w:p>
    <w:p w14:paraId="246E34AF" w14:textId="77777777" w:rsidR="00071F39" w:rsidRPr="00832E2A" w:rsidRDefault="00071F39" w:rsidP="00071F39">
      <w:pPr>
        <w:ind w:left="720"/>
        <w:outlineLvl w:val="0"/>
      </w:pPr>
      <w:r w:rsidRPr="00832E2A">
        <w:t>The motion ______________.</w:t>
      </w:r>
    </w:p>
    <w:p w14:paraId="32E7D76C" w14:textId="77777777" w:rsidR="00071F39" w:rsidRPr="00832E2A" w:rsidRDefault="00071F39" w:rsidP="00071F39">
      <w:pPr>
        <w:ind w:left="720"/>
        <w:outlineLvl w:val="0"/>
        <w:rPr>
          <w:sz w:val="16"/>
          <w:szCs w:val="16"/>
        </w:rPr>
      </w:pPr>
    </w:p>
    <w:p w14:paraId="03400668" w14:textId="77777777" w:rsidR="00071F39" w:rsidRPr="00832E2A" w:rsidRDefault="00071F39" w:rsidP="00071F39">
      <w:pPr>
        <w:ind w:left="720"/>
      </w:pPr>
      <w:r w:rsidRPr="00832E2A">
        <w:t>Roll call vote of Board of Curators:</w:t>
      </w:r>
      <w:r w:rsidRPr="00832E2A">
        <w:tab/>
      </w:r>
      <w:r w:rsidRPr="00832E2A">
        <w:tab/>
        <w:t>YES</w:t>
      </w:r>
      <w:r w:rsidRPr="00832E2A">
        <w:tab/>
      </w:r>
      <w:r w:rsidRPr="00832E2A">
        <w:tab/>
        <w:t>NO</w:t>
      </w:r>
    </w:p>
    <w:p w14:paraId="4A4271C9" w14:textId="77777777" w:rsidR="00071F39" w:rsidRPr="00832E2A" w:rsidRDefault="00071F39" w:rsidP="00071F39">
      <w:pPr>
        <w:ind w:left="720"/>
        <w:rPr>
          <w:sz w:val="16"/>
          <w:szCs w:val="16"/>
        </w:rPr>
      </w:pPr>
    </w:p>
    <w:p w14:paraId="3C44397B" w14:textId="77777777" w:rsidR="0073067A" w:rsidRDefault="0073067A" w:rsidP="0073067A">
      <w:pPr>
        <w:ind w:left="720"/>
      </w:pPr>
      <w:r>
        <w:t xml:space="preserve">Curator </w:t>
      </w:r>
      <w:r w:rsidRPr="00B058B4">
        <w:t>Brncic</w:t>
      </w:r>
    </w:p>
    <w:p w14:paraId="205E05C4" w14:textId="77777777" w:rsidR="0073067A" w:rsidRPr="00D644D5" w:rsidRDefault="0073067A" w:rsidP="0073067A">
      <w:pPr>
        <w:ind w:left="720"/>
      </w:pPr>
      <w:r w:rsidRPr="00D644D5">
        <w:t>Curator Chatman</w:t>
      </w:r>
    </w:p>
    <w:p w14:paraId="52100120" w14:textId="77777777" w:rsidR="0073067A" w:rsidRDefault="0073067A" w:rsidP="0073067A">
      <w:pPr>
        <w:ind w:left="720"/>
      </w:pPr>
      <w:r w:rsidRPr="00D644D5">
        <w:t>Curator Graham</w:t>
      </w:r>
    </w:p>
    <w:p w14:paraId="4B08090F" w14:textId="77777777" w:rsidR="0073067A" w:rsidRPr="00D644D5" w:rsidRDefault="0073067A" w:rsidP="0073067A">
      <w:pPr>
        <w:ind w:left="720"/>
      </w:pPr>
      <w:r>
        <w:t>Curator Hoberock</w:t>
      </w:r>
    </w:p>
    <w:p w14:paraId="0E505586" w14:textId="77777777" w:rsidR="0073067A" w:rsidRPr="00D644D5" w:rsidRDefault="0073067A" w:rsidP="0073067A">
      <w:pPr>
        <w:tabs>
          <w:tab w:val="left" w:pos="7680"/>
        </w:tabs>
        <w:ind w:left="720"/>
      </w:pPr>
      <w:r w:rsidRPr="00D644D5">
        <w:t>Curator Layman</w:t>
      </w:r>
    </w:p>
    <w:p w14:paraId="3AEDBDB0" w14:textId="77777777" w:rsidR="0073067A" w:rsidRPr="00D644D5" w:rsidRDefault="0073067A" w:rsidP="0073067A">
      <w:pPr>
        <w:tabs>
          <w:tab w:val="left" w:pos="7680"/>
        </w:tabs>
        <w:ind w:left="720"/>
      </w:pPr>
      <w:r w:rsidRPr="00D644D5">
        <w:t>Curator Snowden</w:t>
      </w:r>
    </w:p>
    <w:p w14:paraId="4D92D1C4" w14:textId="77777777" w:rsidR="0073067A" w:rsidRDefault="0073067A" w:rsidP="0073067A">
      <w:pPr>
        <w:tabs>
          <w:tab w:val="left" w:pos="7680"/>
        </w:tabs>
        <w:ind w:left="720"/>
      </w:pPr>
      <w:r w:rsidRPr="00D644D5">
        <w:t>Curator Steelman</w:t>
      </w:r>
    </w:p>
    <w:p w14:paraId="14863B53" w14:textId="77777777" w:rsidR="0073067A" w:rsidRDefault="0073067A" w:rsidP="0073067A">
      <w:pPr>
        <w:tabs>
          <w:tab w:val="left" w:pos="7680"/>
        </w:tabs>
        <w:ind w:left="720"/>
      </w:pPr>
      <w:r>
        <w:t>Curator Wenneker</w:t>
      </w:r>
    </w:p>
    <w:p w14:paraId="3B1CBA51" w14:textId="6C910375" w:rsidR="00071F39" w:rsidRDefault="0073067A" w:rsidP="0073067A">
      <w:pPr>
        <w:ind w:left="720"/>
      </w:pPr>
      <w:r>
        <w:t>Curator Williams</w:t>
      </w:r>
    </w:p>
    <w:p w14:paraId="123E8B7B" w14:textId="77777777" w:rsidR="0073067A" w:rsidRPr="00E552D3" w:rsidRDefault="0073067A" w:rsidP="0073067A">
      <w:pPr>
        <w:ind w:left="720"/>
        <w:rPr>
          <w:sz w:val="16"/>
          <w:szCs w:val="16"/>
        </w:rPr>
      </w:pPr>
    </w:p>
    <w:p w14:paraId="5824817A" w14:textId="77777777" w:rsidR="00071F39" w:rsidRDefault="00071F39" w:rsidP="00071F39">
      <w:pPr>
        <w:ind w:firstLine="720"/>
      </w:pPr>
      <w:r>
        <w:t>The motion ______________</w:t>
      </w:r>
    </w:p>
    <w:p w14:paraId="0B880D2D" w14:textId="77777777" w:rsidR="00071F39" w:rsidRPr="00725236" w:rsidRDefault="00071F39" w:rsidP="00071F39">
      <w:pPr>
        <w:jc w:val="both"/>
        <w:rPr>
          <w:sz w:val="16"/>
          <w:szCs w:val="16"/>
        </w:rPr>
      </w:pPr>
    </w:p>
    <w:p w14:paraId="050382A0" w14:textId="77777777" w:rsidR="00071F39" w:rsidRDefault="00071F39">
      <w:pPr>
        <w:spacing w:after="160" w:line="259" w:lineRule="auto"/>
        <w:rPr>
          <w:b/>
          <w:snapToGrid w:val="0"/>
          <w:szCs w:val="20"/>
        </w:rPr>
      </w:pPr>
      <w:r>
        <w:rPr>
          <w:b/>
          <w:snapToGrid w:val="0"/>
          <w:szCs w:val="20"/>
        </w:rPr>
        <w:br w:type="page"/>
      </w:r>
    </w:p>
    <w:p w14:paraId="3C32F1DB" w14:textId="286C6168" w:rsidR="005B60C8" w:rsidRPr="00EC433F" w:rsidRDefault="00D4784C" w:rsidP="000A0ECA">
      <w:pPr>
        <w:jc w:val="center"/>
        <w:rPr>
          <w:color w:val="000000" w:themeColor="text1"/>
          <w:u w:val="single"/>
        </w:rPr>
      </w:pPr>
      <w:r>
        <w:rPr>
          <w:snapToGrid w:val="0"/>
          <w:szCs w:val="20"/>
          <w:u w:val="single"/>
        </w:rPr>
        <w:lastRenderedPageBreak/>
        <w:t>Long Term Tuition and Fee Models</w:t>
      </w:r>
    </w:p>
    <w:p w14:paraId="09753CE6" w14:textId="77777777" w:rsidR="005B60C8" w:rsidRDefault="005B60C8" w:rsidP="005B60C8">
      <w:pPr>
        <w:rPr>
          <w:color w:val="000000" w:themeColor="text1"/>
          <w:u w:val="single"/>
        </w:rPr>
      </w:pPr>
    </w:p>
    <w:p w14:paraId="71ADEAF7" w14:textId="77777777" w:rsidR="005B60C8" w:rsidRPr="00E4116C" w:rsidRDefault="005B60C8" w:rsidP="005B60C8">
      <w:pPr>
        <w:jc w:val="both"/>
        <w:rPr>
          <w:color w:val="000000" w:themeColor="text1"/>
        </w:rPr>
      </w:pPr>
      <w:r w:rsidRPr="00E4116C">
        <w:rPr>
          <w:color w:val="000000" w:themeColor="text1"/>
        </w:rPr>
        <w:t xml:space="preserve">Tuition has become the primary source of academic revenue for the University of Missouri System.  This growth has occurred over the course of several decades, and forces within public higher education continue to shift.  The University has not evaluated the overall framework for tuition and fees in over a decade to ensure they still support both trends in the marketplace and the needs of the institution.  </w:t>
      </w:r>
    </w:p>
    <w:p w14:paraId="381BF466" w14:textId="77777777" w:rsidR="005B60C8" w:rsidRPr="00E4116C" w:rsidRDefault="005B60C8" w:rsidP="005B60C8">
      <w:pPr>
        <w:jc w:val="both"/>
        <w:rPr>
          <w:color w:val="000000" w:themeColor="text1"/>
        </w:rPr>
      </w:pPr>
    </w:p>
    <w:p w14:paraId="46C50023" w14:textId="228D15BE" w:rsidR="004F30A7" w:rsidRDefault="005B60C8" w:rsidP="005B60C8">
      <w:pPr>
        <w:jc w:val="both"/>
        <w:rPr>
          <w:color w:val="000000" w:themeColor="text1"/>
        </w:rPr>
      </w:pPr>
      <w:r w:rsidRPr="00E4116C">
        <w:rPr>
          <w:color w:val="000000" w:themeColor="text1"/>
        </w:rPr>
        <w:t xml:space="preserve">Over the past year, the University of Missouri began a process to evaluate tuition models for the four Universities.  The University’s future tuition and fee strategies will </w:t>
      </w:r>
      <w:r w:rsidR="009E7FCA">
        <w:rPr>
          <w:color w:val="000000" w:themeColor="text1"/>
        </w:rPr>
        <w:t>encompass</w:t>
      </w:r>
      <w:r w:rsidR="009E7FCA" w:rsidRPr="00E4116C">
        <w:rPr>
          <w:color w:val="000000" w:themeColor="text1"/>
        </w:rPr>
        <w:t xml:space="preserve"> </w:t>
      </w:r>
      <w:r w:rsidRPr="00E4116C">
        <w:rPr>
          <w:color w:val="000000" w:themeColor="text1"/>
        </w:rPr>
        <w:t>the following principles:</w:t>
      </w:r>
    </w:p>
    <w:p w14:paraId="1987CCAD" w14:textId="77777777" w:rsidR="004F30A7" w:rsidRPr="00E4116C" w:rsidRDefault="004F30A7" w:rsidP="005B60C8">
      <w:pPr>
        <w:jc w:val="both"/>
        <w:rPr>
          <w:color w:val="000000" w:themeColor="text1"/>
        </w:rPr>
      </w:pPr>
    </w:p>
    <w:p w14:paraId="602DBDFB" w14:textId="77777777" w:rsidR="005B60C8" w:rsidRPr="007B0E83" w:rsidRDefault="005B60C8" w:rsidP="004F30A7">
      <w:pPr>
        <w:pStyle w:val="ListParagraph"/>
        <w:widowControl/>
        <w:numPr>
          <w:ilvl w:val="0"/>
          <w:numId w:val="9"/>
        </w:numPr>
        <w:ind w:left="360"/>
        <w:jc w:val="both"/>
        <w:rPr>
          <w:b/>
          <w:szCs w:val="24"/>
        </w:rPr>
      </w:pPr>
      <w:r w:rsidRPr="007B0E83">
        <w:rPr>
          <w:szCs w:val="24"/>
        </w:rPr>
        <w:t>Be more student friendly</w:t>
      </w:r>
    </w:p>
    <w:p w14:paraId="55DE2BB6" w14:textId="3EA33382" w:rsidR="005B60C8" w:rsidRPr="00AD5F72" w:rsidRDefault="005B60C8" w:rsidP="004F30A7">
      <w:pPr>
        <w:pStyle w:val="ListParagraph"/>
        <w:widowControl/>
        <w:numPr>
          <w:ilvl w:val="1"/>
          <w:numId w:val="9"/>
        </w:numPr>
        <w:ind w:left="720"/>
        <w:jc w:val="both"/>
        <w:rPr>
          <w:b/>
          <w:szCs w:val="24"/>
        </w:rPr>
      </w:pPr>
      <w:r w:rsidRPr="00AD5F72">
        <w:rPr>
          <w:szCs w:val="24"/>
        </w:rPr>
        <w:t>Simplified bill</w:t>
      </w:r>
    </w:p>
    <w:p w14:paraId="473FC3AD" w14:textId="77777777" w:rsidR="005B60C8" w:rsidRPr="00AD5F72" w:rsidRDefault="005B60C8" w:rsidP="004F30A7">
      <w:pPr>
        <w:pStyle w:val="ListParagraph"/>
        <w:widowControl/>
        <w:numPr>
          <w:ilvl w:val="1"/>
          <w:numId w:val="9"/>
        </w:numPr>
        <w:ind w:left="720"/>
        <w:jc w:val="both"/>
        <w:rPr>
          <w:b/>
          <w:szCs w:val="24"/>
        </w:rPr>
      </w:pPr>
      <w:r w:rsidRPr="00AD5F72">
        <w:rPr>
          <w:szCs w:val="24"/>
        </w:rPr>
        <w:t>Predictab</w:t>
      </w:r>
      <w:r>
        <w:rPr>
          <w:szCs w:val="24"/>
        </w:rPr>
        <w:t>le</w:t>
      </w:r>
    </w:p>
    <w:p w14:paraId="7442A686" w14:textId="77777777" w:rsidR="005B60C8" w:rsidRPr="00B20AF1" w:rsidRDefault="005B60C8" w:rsidP="004F30A7">
      <w:pPr>
        <w:pStyle w:val="ListParagraph"/>
        <w:widowControl/>
        <w:numPr>
          <w:ilvl w:val="1"/>
          <w:numId w:val="9"/>
        </w:numPr>
        <w:ind w:left="720"/>
        <w:jc w:val="both"/>
        <w:rPr>
          <w:b/>
          <w:szCs w:val="24"/>
        </w:rPr>
      </w:pPr>
      <w:r w:rsidRPr="00AD5F72">
        <w:rPr>
          <w:szCs w:val="24"/>
        </w:rPr>
        <w:t>Limited pricing variables</w:t>
      </w:r>
    </w:p>
    <w:p w14:paraId="3BFB6B59" w14:textId="77777777" w:rsidR="005B60C8" w:rsidRDefault="005B60C8" w:rsidP="004F30A7">
      <w:pPr>
        <w:pStyle w:val="ListParagraph"/>
        <w:widowControl/>
        <w:numPr>
          <w:ilvl w:val="1"/>
          <w:numId w:val="9"/>
        </w:numPr>
        <w:ind w:left="720"/>
        <w:jc w:val="both"/>
        <w:rPr>
          <w:szCs w:val="24"/>
        </w:rPr>
      </w:pPr>
      <w:r w:rsidRPr="00CD5779">
        <w:rPr>
          <w:szCs w:val="24"/>
        </w:rPr>
        <w:t>Tie</w:t>
      </w:r>
      <w:r>
        <w:rPr>
          <w:szCs w:val="24"/>
        </w:rPr>
        <w:t>s</w:t>
      </w:r>
      <w:r w:rsidRPr="00CD5779">
        <w:rPr>
          <w:szCs w:val="24"/>
        </w:rPr>
        <w:t xml:space="preserve"> to student outcomes</w:t>
      </w:r>
    </w:p>
    <w:p w14:paraId="37521B29" w14:textId="77777777" w:rsidR="005B60C8" w:rsidRDefault="005B60C8" w:rsidP="004F30A7">
      <w:pPr>
        <w:pStyle w:val="ListParagraph"/>
        <w:widowControl/>
        <w:numPr>
          <w:ilvl w:val="1"/>
          <w:numId w:val="9"/>
        </w:numPr>
        <w:ind w:left="720"/>
        <w:jc w:val="both"/>
        <w:rPr>
          <w:szCs w:val="24"/>
        </w:rPr>
      </w:pPr>
      <w:r>
        <w:rPr>
          <w:szCs w:val="24"/>
        </w:rPr>
        <w:t>Facilitates retention and completion</w:t>
      </w:r>
    </w:p>
    <w:p w14:paraId="63E8C7F6" w14:textId="77777777" w:rsidR="005B60C8" w:rsidRPr="00B20AF1" w:rsidRDefault="005B60C8" w:rsidP="004F30A7">
      <w:pPr>
        <w:pStyle w:val="ListParagraph"/>
        <w:widowControl/>
        <w:numPr>
          <w:ilvl w:val="0"/>
          <w:numId w:val="9"/>
        </w:numPr>
        <w:ind w:left="360"/>
        <w:jc w:val="both"/>
        <w:rPr>
          <w:szCs w:val="24"/>
        </w:rPr>
      </w:pPr>
      <w:r w:rsidRPr="00AD5F72">
        <w:rPr>
          <w:szCs w:val="24"/>
        </w:rPr>
        <w:t xml:space="preserve">Generate </w:t>
      </w:r>
      <w:r>
        <w:rPr>
          <w:szCs w:val="24"/>
        </w:rPr>
        <w:t>resources to maintain program quality</w:t>
      </w:r>
    </w:p>
    <w:p w14:paraId="744C20ED" w14:textId="77777777" w:rsidR="005B60C8" w:rsidRPr="00AD5F72" w:rsidRDefault="005B60C8" w:rsidP="004F30A7">
      <w:pPr>
        <w:pStyle w:val="ListParagraph"/>
        <w:widowControl/>
        <w:numPr>
          <w:ilvl w:val="0"/>
          <w:numId w:val="9"/>
        </w:numPr>
        <w:ind w:left="360"/>
        <w:jc w:val="both"/>
        <w:rPr>
          <w:b/>
          <w:szCs w:val="24"/>
        </w:rPr>
      </w:pPr>
      <w:r w:rsidRPr="00AD5F72">
        <w:rPr>
          <w:szCs w:val="24"/>
        </w:rPr>
        <w:t>Be efficient and cost effective to administer</w:t>
      </w:r>
    </w:p>
    <w:p w14:paraId="279807E7" w14:textId="77777777" w:rsidR="005B60C8" w:rsidRPr="00C934F3" w:rsidRDefault="005B60C8" w:rsidP="004F30A7">
      <w:pPr>
        <w:pStyle w:val="ListParagraph"/>
        <w:widowControl/>
        <w:numPr>
          <w:ilvl w:val="0"/>
          <w:numId w:val="9"/>
        </w:numPr>
        <w:ind w:left="360"/>
        <w:jc w:val="both"/>
        <w:rPr>
          <w:b/>
          <w:szCs w:val="24"/>
        </w:rPr>
      </w:pPr>
      <w:r w:rsidRPr="00AD5F72">
        <w:rPr>
          <w:szCs w:val="24"/>
        </w:rPr>
        <w:t>Facilitate achievement of the strategic plan</w:t>
      </w:r>
      <w:r>
        <w:rPr>
          <w:szCs w:val="24"/>
        </w:rPr>
        <w:t xml:space="preserve"> and campus mission</w:t>
      </w:r>
    </w:p>
    <w:p w14:paraId="0E7400AA" w14:textId="77777777" w:rsidR="005B60C8" w:rsidRPr="00C934F3" w:rsidRDefault="005B60C8" w:rsidP="004F30A7">
      <w:pPr>
        <w:pStyle w:val="ListParagraph"/>
        <w:widowControl/>
        <w:numPr>
          <w:ilvl w:val="0"/>
          <w:numId w:val="9"/>
        </w:numPr>
        <w:ind w:left="360"/>
        <w:jc w:val="both"/>
        <w:rPr>
          <w:b/>
          <w:szCs w:val="24"/>
        </w:rPr>
      </w:pPr>
      <w:r>
        <w:rPr>
          <w:szCs w:val="24"/>
        </w:rPr>
        <w:t>Focus on the long-term needs of the institution (5+ years)</w:t>
      </w:r>
    </w:p>
    <w:p w14:paraId="134A21C6" w14:textId="77777777" w:rsidR="005B60C8" w:rsidRDefault="005B60C8" w:rsidP="005B60C8">
      <w:pPr>
        <w:rPr>
          <w:color w:val="000000" w:themeColor="text1"/>
          <w:u w:val="single"/>
        </w:rPr>
      </w:pPr>
    </w:p>
    <w:p w14:paraId="1DFE5C42" w14:textId="008FF77B" w:rsidR="005B60C8" w:rsidRDefault="005B60C8" w:rsidP="005B60C8">
      <w:pPr>
        <w:jc w:val="both"/>
      </w:pPr>
      <w:r>
        <w:t xml:space="preserve">First and foremost, </w:t>
      </w:r>
      <w:r w:rsidRPr="00AD5F72">
        <w:t xml:space="preserve">a new tuition structure </w:t>
      </w:r>
      <w:r>
        <w:t>must</w:t>
      </w:r>
      <w:r w:rsidRPr="00AD5F72">
        <w:t xml:space="preserve"> be student friendly.  </w:t>
      </w:r>
      <w:r>
        <w:t xml:space="preserve">The primary revenue source for large public research institutions has shifted from state support to tuition.  Competition for students has increased and students have begun to focus on value delivery as they pay a higher share of the cost.  </w:t>
      </w:r>
      <w:r w:rsidR="009E7FCA">
        <w:t>The t</w:t>
      </w:r>
      <w:r>
        <w:t xml:space="preserve">uition model should also support university retention and completion models, encouraging students to complete degrees on time and </w:t>
      </w:r>
      <w:r w:rsidR="009E7FCA">
        <w:t>graduate</w:t>
      </w:r>
      <w:r>
        <w:t>.</w:t>
      </w:r>
    </w:p>
    <w:p w14:paraId="422613B6" w14:textId="77777777" w:rsidR="005B60C8" w:rsidRDefault="005B60C8" w:rsidP="005B60C8">
      <w:pPr>
        <w:jc w:val="both"/>
      </w:pPr>
    </w:p>
    <w:p w14:paraId="49CF0EC0" w14:textId="15B84A45" w:rsidR="005B60C8" w:rsidRDefault="005B60C8" w:rsidP="005B60C8">
      <w:pPr>
        <w:jc w:val="both"/>
      </w:pPr>
      <w:r>
        <w:t xml:space="preserve">Throughout the fall of 2019, each </w:t>
      </w:r>
      <w:r w:rsidR="009E7FCA">
        <w:t xml:space="preserve">university </w:t>
      </w:r>
      <w:r>
        <w:t xml:space="preserve">worked to develop the concepts behind their long-term tuition model following these principles.  </w:t>
      </w:r>
      <w:r w:rsidR="009E7FCA">
        <w:t>T</w:t>
      </w:r>
      <w:r>
        <w:t xml:space="preserve">heir plan </w:t>
      </w:r>
      <w:r w:rsidR="009E7FCA">
        <w:t xml:space="preserve">was </w:t>
      </w:r>
      <w:r>
        <w:t>based on the unique needs of their individual student population</w:t>
      </w:r>
      <w:r w:rsidR="009E7FCA">
        <w:t xml:space="preserve"> and</w:t>
      </w:r>
      <w:r>
        <w:t xml:space="preserve"> coalesced around the following two guiding principles:</w:t>
      </w:r>
    </w:p>
    <w:p w14:paraId="2775A93A" w14:textId="77777777" w:rsidR="005B60C8" w:rsidRDefault="005B60C8" w:rsidP="005B60C8">
      <w:pPr>
        <w:jc w:val="both"/>
      </w:pPr>
    </w:p>
    <w:p w14:paraId="67E9E8DD" w14:textId="77777777" w:rsidR="005B60C8" w:rsidRDefault="005B60C8" w:rsidP="004F30A7">
      <w:pPr>
        <w:pStyle w:val="ListParagraph"/>
        <w:numPr>
          <w:ilvl w:val="0"/>
          <w:numId w:val="11"/>
        </w:numPr>
        <w:ind w:left="360"/>
        <w:jc w:val="both"/>
      </w:pPr>
      <w:r>
        <w:t>Differential fee consolidation and simplification</w:t>
      </w:r>
    </w:p>
    <w:p w14:paraId="13975B7A" w14:textId="77777777" w:rsidR="005B60C8" w:rsidRDefault="005B60C8" w:rsidP="004F30A7">
      <w:pPr>
        <w:pStyle w:val="ListParagraph"/>
        <w:numPr>
          <w:ilvl w:val="0"/>
          <w:numId w:val="11"/>
        </w:numPr>
        <w:ind w:left="360"/>
        <w:jc w:val="both"/>
      </w:pPr>
      <w:r>
        <w:t>“Plateau” pricing to improve both retention and completion</w:t>
      </w:r>
    </w:p>
    <w:p w14:paraId="309D0E18" w14:textId="77777777" w:rsidR="005B60C8" w:rsidRDefault="005B60C8" w:rsidP="005B60C8">
      <w:pPr>
        <w:jc w:val="both"/>
      </w:pPr>
    </w:p>
    <w:p w14:paraId="5978635D" w14:textId="60E18BCD" w:rsidR="0039080F" w:rsidRPr="00E4116C" w:rsidRDefault="005B60C8" w:rsidP="005B60C8">
      <w:pPr>
        <w:jc w:val="both"/>
        <w:rPr>
          <w:u w:val="single"/>
        </w:rPr>
      </w:pPr>
      <w:r w:rsidRPr="00E4116C">
        <w:rPr>
          <w:u w:val="single"/>
        </w:rPr>
        <w:t>Differential Fee Consolidation and Simplification</w:t>
      </w:r>
    </w:p>
    <w:p w14:paraId="7068D63B" w14:textId="77777777" w:rsidR="005B60C8" w:rsidRDefault="005B60C8" w:rsidP="005B60C8">
      <w:pPr>
        <w:jc w:val="both"/>
      </w:pPr>
    </w:p>
    <w:p w14:paraId="358C2915" w14:textId="3C9E4C9B" w:rsidR="00CD3FAA" w:rsidRDefault="005B60C8" w:rsidP="005B3B2C">
      <w:pPr>
        <w:jc w:val="both"/>
      </w:pPr>
      <w:r>
        <w:t>College degrees increase earnings over a student’s lifetime, with the average degree holder earning $1 million more than the comparable high school graduate.  Differences in earnings by major are even more stark, with the highest earning majors (engineering) out-earning the lowest earning majors (education) by over $3 million in lifetime earnings (</w:t>
      </w:r>
      <w:hyperlink r:id="rId10" w:history="1">
        <w:r w:rsidRPr="00CD5779">
          <w:rPr>
            <w:rStyle w:val="Hyperlink"/>
          </w:rPr>
          <w:t xml:space="preserve">Georgetown Center on Education and the Workforce). </w:t>
        </w:r>
      </w:hyperlink>
      <w:r>
        <w:t xml:space="preserve"> Past tuition strategies of charging a single rate across majors do not reflect these economic differences and the market</w:t>
      </w:r>
      <w:r w:rsidR="0039080F">
        <w:t xml:space="preserve"> forces</w:t>
      </w:r>
      <w:r>
        <w:t>.</w:t>
      </w:r>
    </w:p>
    <w:p w14:paraId="045038E5" w14:textId="77777777" w:rsidR="005B60C8" w:rsidRDefault="005B60C8" w:rsidP="005B60C8">
      <w:pPr>
        <w:jc w:val="both"/>
      </w:pPr>
      <w:r>
        <w:lastRenderedPageBreak/>
        <w:t>The University of Missouri has differentiated pricing for bachelor’s degree programs with supplemental fees for more than a decade.  Differential fees have become a standard pricing methodology in public higher education, as table 1 denotes:</w:t>
      </w:r>
    </w:p>
    <w:p w14:paraId="14A3575A" w14:textId="77777777" w:rsidR="005B60C8" w:rsidRDefault="005B60C8" w:rsidP="005B60C8">
      <w:pPr>
        <w:jc w:val="both"/>
      </w:pPr>
    </w:p>
    <w:p w14:paraId="595AC6F9" w14:textId="29955FDB" w:rsidR="005B60C8" w:rsidRDefault="005B60C8" w:rsidP="00EC433F">
      <w:pPr>
        <w:spacing w:after="160" w:line="259" w:lineRule="auto"/>
      </w:pPr>
      <w:r>
        <w:t>Table 1: Differential Program Fees and Differential Course Fees for surrounding institutions</w:t>
      </w:r>
    </w:p>
    <w:p w14:paraId="3F9062BD" w14:textId="4AE8AA94" w:rsidR="003918EB" w:rsidRDefault="0058577F" w:rsidP="005B3B2C">
      <w:pPr>
        <w:jc w:val="both"/>
      </w:pPr>
      <w:r w:rsidRPr="007A4EA3">
        <w:rPr>
          <w:noProof/>
        </w:rPr>
        <w:drawing>
          <wp:inline distT="0" distB="0" distL="0" distR="0" wp14:anchorId="5D1DC3B3" wp14:editId="10937B6C">
            <wp:extent cx="5267325" cy="677741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421" cy="6781397"/>
                    </a:xfrm>
                    <a:prstGeom prst="rect">
                      <a:avLst/>
                    </a:prstGeom>
                    <a:noFill/>
                    <a:ln>
                      <a:noFill/>
                    </a:ln>
                  </pic:spPr>
                </pic:pic>
              </a:graphicData>
            </a:graphic>
          </wp:inline>
        </w:drawing>
      </w:r>
    </w:p>
    <w:p w14:paraId="61D86347" w14:textId="6F9F0E32" w:rsidR="00D22CF3" w:rsidRPr="00822B7E" w:rsidRDefault="00D22CF3" w:rsidP="00D22CF3">
      <w:pPr>
        <w:spacing w:after="160" w:line="259" w:lineRule="auto"/>
        <w:rPr>
          <w:i/>
          <w:color w:val="000000" w:themeColor="text1"/>
          <w:sz w:val="18"/>
          <w:szCs w:val="18"/>
        </w:rPr>
      </w:pPr>
      <w:r w:rsidRPr="00822B7E">
        <w:rPr>
          <w:i/>
          <w:color w:val="000000" w:themeColor="text1"/>
          <w:sz w:val="18"/>
          <w:szCs w:val="18"/>
        </w:rPr>
        <w:t xml:space="preserve">Source: Independent analysis of institution websites as of </w:t>
      </w:r>
      <w:r w:rsidR="001B0039">
        <w:rPr>
          <w:i/>
          <w:color w:val="000000" w:themeColor="text1"/>
          <w:sz w:val="18"/>
          <w:szCs w:val="18"/>
        </w:rPr>
        <w:t>February 2020</w:t>
      </w:r>
    </w:p>
    <w:p w14:paraId="242B7BFC" w14:textId="25238748" w:rsidR="005B60C8" w:rsidRDefault="005B60C8" w:rsidP="005B60C8">
      <w:pPr>
        <w:jc w:val="both"/>
      </w:pPr>
      <w:r>
        <w:lastRenderedPageBreak/>
        <w:t>Every flagship or land grant institution in surrounding states has some form of differential program fees or course fees.  Currently, the University of Missouri follows the course fee model whereby the fee is attached to the course rather than the student.  In evaluating new models, several of the Universities are exploring moving from fees charged at the course level to fees charged based on the student and their major.  The current model utilized by the University is the most common in the surrounding market, however, our students have voiced a desire to move to something that is easier to understand</w:t>
      </w:r>
      <w:r w:rsidR="00CD3FAA">
        <w:t xml:space="preserve"> and </w:t>
      </w:r>
      <w:r w:rsidR="00515231">
        <w:t xml:space="preserve">more </w:t>
      </w:r>
      <w:r w:rsidR="00CD3FAA">
        <w:t>predictable</w:t>
      </w:r>
      <w:r>
        <w:t>.</w:t>
      </w:r>
    </w:p>
    <w:p w14:paraId="3340340A" w14:textId="77777777" w:rsidR="005B60C8" w:rsidRDefault="005B60C8" w:rsidP="005B60C8">
      <w:pPr>
        <w:jc w:val="both"/>
      </w:pPr>
    </w:p>
    <w:p w14:paraId="411924AC" w14:textId="4936AA0F" w:rsidR="005B60C8" w:rsidRDefault="005B60C8" w:rsidP="005B60C8">
      <w:pPr>
        <w:jc w:val="both"/>
      </w:pPr>
      <w:r w:rsidRPr="00AD5F72">
        <w:t xml:space="preserve">Given the current pricing structure </w:t>
      </w:r>
      <w:r>
        <w:t>charges</w:t>
      </w:r>
      <w:r w:rsidRPr="00AD5F72">
        <w:t xml:space="preserve"> supplemental fees by individual course, students and parents do not know how much the next semester bill will be until </w:t>
      </w:r>
      <w:r>
        <w:t>the student enrolls in classes</w:t>
      </w:r>
      <w:r w:rsidRPr="00AD5F72">
        <w:t>.</w:t>
      </w:r>
      <w:r>
        <w:t xml:space="preserve">  Many may not understand the fees until they appear on the bill.</w:t>
      </w:r>
      <w:r w:rsidRPr="00AD5F72">
        <w:t xml:space="preserve"> </w:t>
      </w:r>
      <w:r>
        <w:t xml:space="preserve"> </w:t>
      </w:r>
      <w:r w:rsidRPr="00AD5F72">
        <w:t xml:space="preserve">Predictability </w:t>
      </w:r>
      <w:r>
        <w:t>can</w:t>
      </w:r>
      <w:r w:rsidRPr="00AD5F72">
        <w:t xml:space="preserve"> be enhanced by developing a tuition pricing strategy that has a limited set of pricing variables</w:t>
      </w:r>
      <w:r>
        <w:t xml:space="preserve"> known to students earlier in the process</w:t>
      </w:r>
      <w:r w:rsidRPr="00AD5F72">
        <w:t xml:space="preserve">. </w:t>
      </w:r>
    </w:p>
    <w:p w14:paraId="7CA0A76F" w14:textId="77777777" w:rsidR="005B60C8" w:rsidRDefault="005B60C8" w:rsidP="005B60C8">
      <w:pPr>
        <w:jc w:val="both"/>
      </w:pPr>
    </w:p>
    <w:p w14:paraId="3A443C12" w14:textId="564D9237" w:rsidR="005B60C8" w:rsidRDefault="005B60C8" w:rsidP="00CD3FAA">
      <w:pPr>
        <w:jc w:val="both"/>
      </w:pPr>
      <w:r>
        <w:t xml:space="preserve">Each </w:t>
      </w:r>
      <w:r w:rsidR="00CD3FAA">
        <w:t>u</w:t>
      </w:r>
      <w:r>
        <w:t xml:space="preserve">niversity’s plan includes an element of fee simplification for students.  </w:t>
      </w:r>
      <w:r w:rsidR="00CD3FAA">
        <w:t>The plans are</w:t>
      </w:r>
      <w:r>
        <w:t xml:space="preserve"> considering charging students with limited variables, with most focusing on pricing at the program level based upon the student’s degree, rather than the classes the student selects.  This </w:t>
      </w:r>
      <w:r w:rsidR="00CD3FAA">
        <w:t xml:space="preserve">simplification </w:t>
      </w:r>
      <w:r>
        <w:t>allows the student to know the</w:t>
      </w:r>
      <w:r w:rsidR="00F55C51">
        <w:t>ir</w:t>
      </w:r>
      <w:r>
        <w:t xml:space="preserve"> </w:t>
      </w:r>
      <w:r w:rsidR="00F55C51">
        <w:t>rate per</w:t>
      </w:r>
      <w:r>
        <w:t xml:space="preserve"> credit hour when </w:t>
      </w:r>
      <w:r w:rsidR="00F55C51">
        <w:t>they are accepted into a program or declare a major</w:t>
      </w:r>
      <w:r>
        <w:t xml:space="preserve">.  The next phase of development in the long-term models involves researching the current fees in place and determining how to consolidate the current </w:t>
      </w:r>
      <w:r w:rsidR="00D36B65">
        <w:t>class-based</w:t>
      </w:r>
      <w:r>
        <w:t xml:space="preserve"> fees into </w:t>
      </w:r>
      <w:r w:rsidR="00D36B65">
        <w:t>program-based</w:t>
      </w:r>
      <w:r>
        <w:t xml:space="preserve"> fees.  As these fees would not be charged to all students, they will</w:t>
      </w:r>
      <w:r w:rsidR="000A0ECA">
        <w:t xml:space="preserve"> continue</w:t>
      </w:r>
      <w:r>
        <w:t xml:space="preserve"> not be subject to the increase cap under HESFA.</w:t>
      </w:r>
    </w:p>
    <w:p w14:paraId="1ACF01E0" w14:textId="77777777" w:rsidR="007312AF" w:rsidRDefault="007312AF" w:rsidP="00F14001">
      <w:pPr>
        <w:rPr>
          <w:color w:val="000000" w:themeColor="text1"/>
          <w:u w:val="single"/>
        </w:rPr>
      </w:pPr>
    </w:p>
    <w:p w14:paraId="4D782BCB" w14:textId="77777777" w:rsidR="005B60C8" w:rsidRDefault="005B60C8" w:rsidP="005B60C8">
      <w:pPr>
        <w:rPr>
          <w:color w:val="000000" w:themeColor="text1"/>
        </w:rPr>
      </w:pPr>
      <w:r>
        <w:rPr>
          <w:color w:val="000000" w:themeColor="text1"/>
          <w:u w:val="single"/>
        </w:rPr>
        <w:t>Plateau Pricing to Improve Retention and Completion</w:t>
      </w:r>
    </w:p>
    <w:p w14:paraId="1634F61F" w14:textId="77777777" w:rsidR="005B60C8" w:rsidRDefault="005B60C8" w:rsidP="005B60C8">
      <w:pPr>
        <w:rPr>
          <w:color w:val="000000" w:themeColor="text1"/>
        </w:rPr>
      </w:pPr>
    </w:p>
    <w:p w14:paraId="08D2C1E8" w14:textId="1652DBB8" w:rsidR="005B60C8" w:rsidRDefault="005B60C8" w:rsidP="005B60C8">
      <w:pPr>
        <w:jc w:val="both"/>
      </w:pPr>
      <w:r>
        <w:rPr>
          <w:color w:val="000000" w:themeColor="text1"/>
        </w:rPr>
        <w:t xml:space="preserve">Tuition plateaus involve fixing the credit hour cost for a range of credit hours, generally with a minimum set around what a University views as a “full-time” student.  </w:t>
      </w:r>
      <w:r w:rsidRPr="00AD5F72">
        <w:t xml:space="preserve">This type of pricing strategy would result in a flat tuition rate for a set range of credit hours.  </w:t>
      </w:r>
      <w:r>
        <w:t xml:space="preserve">The </w:t>
      </w:r>
      <w:r w:rsidRPr="00AD5F72">
        <w:t xml:space="preserve">bottom of the range </w:t>
      </w:r>
      <w:r>
        <w:t>is usually</w:t>
      </w:r>
      <w:r w:rsidRPr="00AD5F72">
        <w:t xml:space="preserve"> 12 credit hours, or full</w:t>
      </w:r>
      <w:r>
        <w:t>-</w:t>
      </w:r>
      <w:r w:rsidRPr="00AD5F72">
        <w:t>time student status for federal financial aid</w:t>
      </w:r>
      <w:r>
        <w:t xml:space="preserve">.  Within the plateau, each additional credit hour of consumption above the low-end amount is free to the student.  This encourages students to take fuller course loads and progress towards a degree faster.  </w:t>
      </w:r>
    </w:p>
    <w:p w14:paraId="18658F11" w14:textId="77777777" w:rsidR="005B60C8" w:rsidRDefault="005B60C8" w:rsidP="005B60C8">
      <w:pPr>
        <w:jc w:val="both"/>
      </w:pPr>
    </w:p>
    <w:p w14:paraId="0B2E31FB" w14:textId="5126D97D" w:rsidR="005B60C8" w:rsidRDefault="005B60C8" w:rsidP="005B60C8">
      <w:pPr>
        <w:jc w:val="both"/>
      </w:pPr>
      <w:r>
        <w:t xml:space="preserve">The University of Missouri used a plateau rate from </w:t>
      </w:r>
      <w:r w:rsidR="00515231">
        <w:t>the 1960’s through the mid 1980’s.</w:t>
      </w:r>
      <w:r>
        <w:t xml:space="preserve"> During this time the plateau range varied beginning with 8 credit hours, 9 credit hours, 12 credit hours, </w:t>
      </w:r>
      <w:r w:rsidR="006665B7">
        <w:t xml:space="preserve">or </w:t>
      </w:r>
      <w:r>
        <w:t>14 credit hours with no maximum number of credits.</w:t>
      </w:r>
    </w:p>
    <w:p w14:paraId="1E7D212B" w14:textId="0ED943BE" w:rsidR="004F30A7" w:rsidRDefault="004F30A7">
      <w:pPr>
        <w:spacing w:after="160" w:line="259" w:lineRule="auto"/>
      </w:pPr>
      <w:r>
        <w:br w:type="page"/>
      </w:r>
    </w:p>
    <w:p w14:paraId="6C2547B7" w14:textId="0D23D994" w:rsidR="005B60C8" w:rsidRDefault="005B60C8" w:rsidP="005B60C8">
      <w:pPr>
        <w:jc w:val="both"/>
      </w:pPr>
      <w:r>
        <w:lastRenderedPageBreak/>
        <w:t xml:space="preserve">Table 2: </w:t>
      </w:r>
      <w:r w:rsidR="00515231">
        <w:t xml:space="preserve">Public </w:t>
      </w:r>
      <w:r>
        <w:t xml:space="preserve">Institutions with plateau pricing and ranges for plateaus </w:t>
      </w:r>
    </w:p>
    <w:tbl>
      <w:tblPr>
        <w:tblW w:w="8725" w:type="dxa"/>
        <w:tblLook w:val="04A0" w:firstRow="1" w:lastRow="0" w:firstColumn="1" w:lastColumn="0" w:noHBand="0" w:noVBand="1"/>
      </w:tblPr>
      <w:tblGrid>
        <w:gridCol w:w="2680"/>
        <w:gridCol w:w="6045"/>
      </w:tblGrid>
      <w:tr w:rsidR="00F55C51" w:rsidRPr="00F55C51" w14:paraId="0CB7F875" w14:textId="77777777" w:rsidTr="00EC433F">
        <w:trPr>
          <w:trHeight w:val="359"/>
        </w:trPr>
        <w:tc>
          <w:tcPr>
            <w:tcW w:w="2680" w:type="dxa"/>
            <w:tcBorders>
              <w:top w:val="single" w:sz="4" w:space="0" w:color="auto"/>
              <w:left w:val="single" w:sz="4" w:space="0" w:color="auto"/>
              <w:bottom w:val="single" w:sz="4" w:space="0" w:color="auto"/>
              <w:right w:val="single" w:sz="4" w:space="0" w:color="auto"/>
            </w:tcBorders>
            <w:shd w:val="clear" w:color="000000" w:fill="203764"/>
            <w:vAlign w:val="bottom"/>
            <w:hideMark/>
          </w:tcPr>
          <w:p w14:paraId="5C86FC54" w14:textId="77777777" w:rsidR="00F55C51" w:rsidRPr="00ED7FA0" w:rsidRDefault="00F55C51" w:rsidP="00F55C51">
            <w:pPr>
              <w:jc w:val="center"/>
              <w:rPr>
                <w:b/>
                <w:bCs/>
                <w:color w:val="FFFFFF"/>
              </w:rPr>
            </w:pPr>
            <w:r w:rsidRPr="00ED7FA0">
              <w:rPr>
                <w:b/>
                <w:bCs/>
                <w:color w:val="FFFFFF"/>
              </w:rPr>
              <w:t>Institution</w:t>
            </w:r>
          </w:p>
        </w:tc>
        <w:tc>
          <w:tcPr>
            <w:tcW w:w="6045" w:type="dxa"/>
            <w:tcBorders>
              <w:top w:val="single" w:sz="4" w:space="0" w:color="auto"/>
              <w:left w:val="nil"/>
              <w:bottom w:val="single" w:sz="4" w:space="0" w:color="auto"/>
              <w:right w:val="single" w:sz="4" w:space="0" w:color="auto"/>
            </w:tcBorders>
            <w:shd w:val="clear" w:color="000000" w:fill="203764"/>
            <w:vAlign w:val="bottom"/>
            <w:hideMark/>
          </w:tcPr>
          <w:p w14:paraId="418B0126" w14:textId="77777777" w:rsidR="00F55C51" w:rsidRPr="00ED7FA0" w:rsidRDefault="00F55C51" w:rsidP="00F55C51">
            <w:pPr>
              <w:jc w:val="center"/>
              <w:rPr>
                <w:b/>
                <w:bCs/>
                <w:color w:val="FFFFFF"/>
              </w:rPr>
            </w:pPr>
            <w:r w:rsidRPr="00ED7FA0">
              <w:rPr>
                <w:b/>
                <w:bCs/>
                <w:color w:val="FFFFFF"/>
              </w:rPr>
              <w:t>Plateau Charge Programs</w:t>
            </w:r>
          </w:p>
        </w:tc>
      </w:tr>
      <w:tr w:rsidR="00F55C51" w:rsidRPr="00F55C51" w14:paraId="776AC99A" w14:textId="77777777" w:rsidTr="00EC433F">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8C35854" w14:textId="77777777" w:rsidR="00F55C51" w:rsidRPr="00873A3F" w:rsidRDefault="00F55C51" w:rsidP="00F55C51">
            <w:pPr>
              <w:rPr>
                <w:color w:val="000000"/>
              </w:rPr>
            </w:pPr>
            <w:r w:rsidRPr="00873A3F">
              <w:rPr>
                <w:color w:val="000000"/>
              </w:rPr>
              <w:t>Indiana University-Bloomington</w:t>
            </w:r>
          </w:p>
        </w:tc>
        <w:tc>
          <w:tcPr>
            <w:tcW w:w="6045" w:type="dxa"/>
            <w:tcBorders>
              <w:top w:val="nil"/>
              <w:left w:val="nil"/>
              <w:bottom w:val="single" w:sz="4" w:space="0" w:color="auto"/>
              <w:right w:val="single" w:sz="4" w:space="0" w:color="auto"/>
            </w:tcBorders>
            <w:shd w:val="clear" w:color="auto" w:fill="auto"/>
            <w:vAlign w:val="center"/>
            <w:hideMark/>
          </w:tcPr>
          <w:p w14:paraId="49204E5B" w14:textId="046AAED9" w:rsidR="00F55C51" w:rsidRPr="00873A3F" w:rsidRDefault="00F55C51" w:rsidP="00F55C51">
            <w:pPr>
              <w:rPr>
                <w:color w:val="000000"/>
              </w:rPr>
            </w:pPr>
            <w:r w:rsidRPr="00873A3F">
              <w:rPr>
                <w:color w:val="000000"/>
              </w:rPr>
              <w:t>Flat Rate for 12-18 C</w:t>
            </w:r>
            <w:r w:rsidR="00515231">
              <w:rPr>
                <w:color w:val="000000"/>
              </w:rPr>
              <w:t>redit Hours (CH)</w:t>
            </w:r>
          </w:p>
        </w:tc>
      </w:tr>
      <w:tr w:rsidR="00F55C51" w:rsidRPr="00F55C51" w14:paraId="22A7F0B1" w14:textId="77777777" w:rsidTr="00EC433F">
        <w:trPr>
          <w:trHeight w:val="31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6C52343" w14:textId="77777777" w:rsidR="00F55C51" w:rsidRPr="00873A3F" w:rsidRDefault="00F55C51" w:rsidP="00F55C51">
            <w:pPr>
              <w:rPr>
                <w:color w:val="000000"/>
              </w:rPr>
            </w:pPr>
            <w:r w:rsidRPr="00873A3F">
              <w:rPr>
                <w:color w:val="000000"/>
              </w:rPr>
              <w:t>Iowa State University</w:t>
            </w:r>
          </w:p>
        </w:tc>
        <w:tc>
          <w:tcPr>
            <w:tcW w:w="6045" w:type="dxa"/>
            <w:tcBorders>
              <w:top w:val="nil"/>
              <w:left w:val="nil"/>
              <w:bottom w:val="single" w:sz="4" w:space="0" w:color="auto"/>
              <w:right w:val="single" w:sz="4" w:space="0" w:color="auto"/>
            </w:tcBorders>
            <w:shd w:val="clear" w:color="auto" w:fill="auto"/>
            <w:vAlign w:val="center"/>
            <w:hideMark/>
          </w:tcPr>
          <w:p w14:paraId="63E6A72A" w14:textId="54E2CC5F" w:rsidR="00F55C51" w:rsidRPr="00873A3F" w:rsidRDefault="00515231" w:rsidP="00F55C51">
            <w:pPr>
              <w:rPr>
                <w:color w:val="000000"/>
              </w:rPr>
            </w:pPr>
            <w:r>
              <w:rPr>
                <w:color w:val="000000"/>
              </w:rPr>
              <w:t xml:space="preserve">Plateau for 12+ CH </w:t>
            </w:r>
          </w:p>
        </w:tc>
      </w:tr>
      <w:tr w:rsidR="00F55C51" w:rsidRPr="00F55C51" w14:paraId="694F1C4A" w14:textId="77777777" w:rsidTr="00EC433F">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FC98880" w14:textId="77777777" w:rsidR="00F55C51" w:rsidRPr="00873A3F" w:rsidRDefault="00F55C51" w:rsidP="00F55C51">
            <w:pPr>
              <w:rPr>
                <w:color w:val="000000"/>
              </w:rPr>
            </w:pPr>
            <w:r w:rsidRPr="00873A3F">
              <w:rPr>
                <w:color w:val="000000"/>
              </w:rPr>
              <w:t>Oklahoma State University</w:t>
            </w:r>
          </w:p>
        </w:tc>
        <w:tc>
          <w:tcPr>
            <w:tcW w:w="6045" w:type="dxa"/>
            <w:tcBorders>
              <w:top w:val="nil"/>
              <w:left w:val="nil"/>
              <w:bottom w:val="single" w:sz="4" w:space="0" w:color="auto"/>
              <w:right w:val="single" w:sz="4" w:space="0" w:color="auto"/>
            </w:tcBorders>
            <w:shd w:val="clear" w:color="auto" w:fill="auto"/>
            <w:vAlign w:val="center"/>
            <w:hideMark/>
          </w:tcPr>
          <w:p w14:paraId="118653F2" w14:textId="47DF1985" w:rsidR="00F55C51" w:rsidRPr="00873A3F" w:rsidRDefault="00515231" w:rsidP="00F55C51">
            <w:pPr>
              <w:rPr>
                <w:color w:val="000000"/>
              </w:rPr>
            </w:pPr>
            <w:r>
              <w:rPr>
                <w:color w:val="000000"/>
              </w:rPr>
              <w:t xml:space="preserve">Plateau for 12+ CH </w:t>
            </w:r>
          </w:p>
        </w:tc>
      </w:tr>
      <w:tr w:rsidR="00F55C51" w:rsidRPr="00F55C51" w14:paraId="148A2DE1" w14:textId="77777777" w:rsidTr="00EC433F">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AFD37A0" w14:textId="77777777" w:rsidR="00F55C51" w:rsidRPr="00873A3F" w:rsidRDefault="00F55C51" w:rsidP="00F55C51">
            <w:pPr>
              <w:rPr>
                <w:color w:val="000000"/>
              </w:rPr>
            </w:pPr>
            <w:r w:rsidRPr="00873A3F">
              <w:rPr>
                <w:color w:val="000000"/>
              </w:rPr>
              <w:t>Purdue University</w:t>
            </w:r>
          </w:p>
        </w:tc>
        <w:tc>
          <w:tcPr>
            <w:tcW w:w="6045" w:type="dxa"/>
            <w:tcBorders>
              <w:top w:val="nil"/>
              <w:left w:val="nil"/>
              <w:bottom w:val="single" w:sz="4" w:space="0" w:color="auto"/>
              <w:right w:val="single" w:sz="4" w:space="0" w:color="auto"/>
            </w:tcBorders>
            <w:shd w:val="clear" w:color="auto" w:fill="auto"/>
            <w:vAlign w:val="center"/>
            <w:hideMark/>
          </w:tcPr>
          <w:p w14:paraId="7F4BA873" w14:textId="50850158" w:rsidR="00F55C51" w:rsidRPr="00873A3F" w:rsidRDefault="00515231" w:rsidP="00F55C51">
            <w:pPr>
              <w:rPr>
                <w:color w:val="000000"/>
              </w:rPr>
            </w:pPr>
            <w:r>
              <w:rPr>
                <w:color w:val="000000"/>
              </w:rPr>
              <w:t>Plateau for 8+ CH</w:t>
            </w:r>
          </w:p>
        </w:tc>
      </w:tr>
      <w:tr w:rsidR="00F55C51" w:rsidRPr="00F55C51" w14:paraId="40ED3BB0" w14:textId="77777777" w:rsidTr="00EC433F">
        <w:trPr>
          <w:trHeight w:val="31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40ECC02" w14:textId="77777777" w:rsidR="00F55C51" w:rsidRPr="00873A3F" w:rsidRDefault="00F55C51" w:rsidP="00F55C51">
            <w:pPr>
              <w:rPr>
                <w:color w:val="000000"/>
              </w:rPr>
            </w:pPr>
            <w:r w:rsidRPr="00873A3F">
              <w:rPr>
                <w:color w:val="000000"/>
              </w:rPr>
              <w:t>University of Alabama</w:t>
            </w:r>
          </w:p>
        </w:tc>
        <w:tc>
          <w:tcPr>
            <w:tcW w:w="6045" w:type="dxa"/>
            <w:tcBorders>
              <w:top w:val="nil"/>
              <w:left w:val="nil"/>
              <w:bottom w:val="single" w:sz="4" w:space="0" w:color="auto"/>
              <w:right w:val="single" w:sz="4" w:space="0" w:color="auto"/>
            </w:tcBorders>
            <w:shd w:val="clear" w:color="auto" w:fill="auto"/>
            <w:vAlign w:val="center"/>
            <w:hideMark/>
          </w:tcPr>
          <w:p w14:paraId="16B53635" w14:textId="1AB58265" w:rsidR="00F55C51" w:rsidRPr="00873A3F" w:rsidRDefault="00515231" w:rsidP="00F55C51">
            <w:pPr>
              <w:rPr>
                <w:color w:val="000000"/>
              </w:rPr>
            </w:pPr>
            <w:r>
              <w:rPr>
                <w:color w:val="000000"/>
              </w:rPr>
              <w:t>Plateau for 12-16 CH</w:t>
            </w:r>
          </w:p>
        </w:tc>
      </w:tr>
      <w:tr w:rsidR="00F55C51" w:rsidRPr="00F55C51" w14:paraId="050D2E32" w14:textId="77777777" w:rsidTr="00EC433F">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8179DC3" w14:textId="77777777" w:rsidR="00F55C51" w:rsidRPr="00873A3F" w:rsidRDefault="00F55C51" w:rsidP="00F55C51">
            <w:pPr>
              <w:rPr>
                <w:color w:val="000000"/>
              </w:rPr>
            </w:pPr>
            <w:r w:rsidRPr="00873A3F">
              <w:rPr>
                <w:color w:val="000000"/>
              </w:rPr>
              <w:t>University of Iowa</w:t>
            </w:r>
          </w:p>
        </w:tc>
        <w:tc>
          <w:tcPr>
            <w:tcW w:w="6045" w:type="dxa"/>
            <w:tcBorders>
              <w:top w:val="nil"/>
              <w:left w:val="nil"/>
              <w:bottom w:val="single" w:sz="4" w:space="0" w:color="auto"/>
              <w:right w:val="single" w:sz="4" w:space="0" w:color="auto"/>
            </w:tcBorders>
            <w:shd w:val="clear" w:color="auto" w:fill="auto"/>
            <w:vAlign w:val="center"/>
            <w:hideMark/>
          </w:tcPr>
          <w:p w14:paraId="6D0C1EF9" w14:textId="6576D18B" w:rsidR="00F55C51" w:rsidRPr="00873A3F" w:rsidRDefault="00515231" w:rsidP="00F55C51">
            <w:pPr>
              <w:rPr>
                <w:color w:val="000000"/>
              </w:rPr>
            </w:pPr>
            <w:r>
              <w:rPr>
                <w:color w:val="000000"/>
              </w:rPr>
              <w:t>Plateau for 12+ CH</w:t>
            </w:r>
            <w:r w:rsidR="00F55C51" w:rsidRPr="00873A3F">
              <w:rPr>
                <w:color w:val="000000"/>
              </w:rPr>
              <w:t xml:space="preserve">; Separate rate for </w:t>
            </w:r>
            <w:r>
              <w:rPr>
                <w:color w:val="000000"/>
              </w:rPr>
              <w:t>non-resident</w:t>
            </w:r>
            <w:r w:rsidR="00F55C51" w:rsidRPr="00873A3F">
              <w:rPr>
                <w:color w:val="000000"/>
              </w:rPr>
              <w:t xml:space="preserve"> and </w:t>
            </w:r>
            <w:r>
              <w:rPr>
                <w:color w:val="000000"/>
              </w:rPr>
              <w:t>i</w:t>
            </w:r>
            <w:r w:rsidR="00F55C51" w:rsidRPr="00873A3F">
              <w:rPr>
                <w:color w:val="000000"/>
              </w:rPr>
              <w:t>nternational students</w:t>
            </w:r>
          </w:p>
        </w:tc>
      </w:tr>
      <w:tr w:rsidR="00F55C51" w:rsidRPr="00F55C51" w14:paraId="234BC1C6" w14:textId="77777777" w:rsidTr="00EC433F">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5B1F1D4" w14:textId="77777777" w:rsidR="00F55C51" w:rsidRPr="00873A3F" w:rsidRDefault="00F55C51" w:rsidP="00F55C51">
            <w:pPr>
              <w:rPr>
                <w:color w:val="000000"/>
              </w:rPr>
            </w:pPr>
            <w:r w:rsidRPr="00873A3F">
              <w:rPr>
                <w:color w:val="000000"/>
              </w:rPr>
              <w:t>University of Kentucky</w:t>
            </w:r>
          </w:p>
        </w:tc>
        <w:tc>
          <w:tcPr>
            <w:tcW w:w="6045" w:type="dxa"/>
            <w:tcBorders>
              <w:top w:val="nil"/>
              <w:left w:val="nil"/>
              <w:bottom w:val="single" w:sz="4" w:space="0" w:color="auto"/>
              <w:right w:val="single" w:sz="4" w:space="0" w:color="auto"/>
            </w:tcBorders>
            <w:shd w:val="clear" w:color="auto" w:fill="auto"/>
            <w:vAlign w:val="center"/>
            <w:hideMark/>
          </w:tcPr>
          <w:p w14:paraId="76973EA9" w14:textId="13D58359" w:rsidR="00F55C51" w:rsidRPr="00873A3F" w:rsidRDefault="00515231" w:rsidP="00F55C51">
            <w:pPr>
              <w:rPr>
                <w:color w:val="000000"/>
              </w:rPr>
            </w:pPr>
            <w:r>
              <w:rPr>
                <w:color w:val="000000"/>
              </w:rPr>
              <w:t>Plateau for 12+ CH,</w:t>
            </w:r>
            <w:r w:rsidR="00F55C51" w:rsidRPr="00873A3F">
              <w:rPr>
                <w:color w:val="000000"/>
              </w:rPr>
              <w:t xml:space="preserve"> with exception of Online and Engineering</w:t>
            </w:r>
          </w:p>
        </w:tc>
      </w:tr>
      <w:tr w:rsidR="00F55C51" w:rsidRPr="00F55C51" w14:paraId="233DCD00" w14:textId="77777777" w:rsidTr="00EC433F">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C557D75" w14:textId="77777777" w:rsidR="00F55C51" w:rsidRPr="00873A3F" w:rsidRDefault="00F55C51" w:rsidP="00F55C51">
            <w:pPr>
              <w:rPr>
                <w:color w:val="000000"/>
              </w:rPr>
            </w:pPr>
            <w:r w:rsidRPr="00873A3F">
              <w:rPr>
                <w:color w:val="000000"/>
              </w:rPr>
              <w:t>University of Minnesota - Twin Cities</w:t>
            </w:r>
          </w:p>
        </w:tc>
        <w:tc>
          <w:tcPr>
            <w:tcW w:w="6045" w:type="dxa"/>
            <w:tcBorders>
              <w:top w:val="nil"/>
              <w:left w:val="nil"/>
              <w:bottom w:val="single" w:sz="4" w:space="0" w:color="auto"/>
              <w:right w:val="single" w:sz="4" w:space="0" w:color="auto"/>
            </w:tcBorders>
            <w:shd w:val="clear" w:color="auto" w:fill="auto"/>
            <w:vAlign w:val="center"/>
            <w:hideMark/>
          </w:tcPr>
          <w:p w14:paraId="66BAB1A4" w14:textId="6359C4DE" w:rsidR="00F55C51" w:rsidRPr="00873A3F" w:rsidRDefault="00F55C51" w:rsidP="00F55C51">
            <w:pPr>
              <w:rPr>
                <w:color w:val="000000"/>
              </w:rPr>
            </w:pPr>
            <w:r w:rsidRPr="00873A3F">
              <w:rPr>
                <w:color w:val="000000"/>
              </w:rPr>
              <w:t xml:space="preserve">Degree seeking Flat Rate no matter CH taken; </w:t>
            </w:r>
            <w:r w:rsidR="00982455" w:rsidRPr="00873A3F">
              <w:rPr>
                <w:color w:val="000000"/>
              </w:rPr>
              <w:t>Non-Degree</w:t>
            </w:r>
            <w:r w:rsidRPr="00873A3F">
              <w:rPr>
                <w:color w:val="000000"/>
              </w:rPr>
              <w:t xml:space="preserve"> plateau 13+CH</w:t>
            </w:r>
          </w:p>
        </w:tc>
      </w:tr>
      <w:tr w:rsidR="00F55C51" w:rsidRPr="00F55C51" w14:paraId="1C2429FB" w14:textId="77777777" w:rsidTr="00EC433F">
        <w:trPr>
          <w:trHeight w:val="31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4EE4C79" w14:textId="77777777" w:rsidR="00F55C51" w:rsidRPr="00873A3F" w:rsidRDefault="00F55C51" w:rsidP="00F55C51">
            <w:pPr>
              <w:rPr>
                <w:color w:val="000000"/>
              </w:rPr>
            </w:pPr>
            <w:r w:rsidRPr="00873A3F">
              <w:rPr>
                <w:color w:val="000000"/>
              </w:rPr>
              <w:t>University of North Dakota</w:t>
            </w:r>
          </w:p>
        </w:tc>
        <w:tc>
          <w:tcPr>
            <w:tcW w:w="6045" w:type="dxa"/>
            <w:tcBorders>
              <w:top w:val="nil"/>
              <w:left w:val="nil"/>
              <w:bottom w:val="single" w:sz="4" w:space="0" w:color="auto"/>
              <w:right w:val="single" w:sz="4" w:space="0" w:color="auto"/>
            </w:tcBorders>
            <w:shd w:val="clear" w:color="auto" w:fill="auto"/>
            <w:vAlign w:val="center"/>
            <w:hideMark/>
          </w:tcPr>
          <w:p w14:paraId="14F87EC6" w14:textId="38B3AAC4" w:rsidR="00F55C51" w:rsidRPr="00873A3F" w:rsidRDefault="00515231" w:rsidP="00F55C51">
            <w:pPr>
              <w:rPr>
                <w:color w:val="000000"/>
              </w:rPr>
            </w:pPr>
            <w:r>
              <w:rPr>
                <w:color w:val="000000"/>
              </w:rPr>
              <w:t>Plateau for</w:t>
            </w:r>
            <w:r w:rsidR="00F55C51" w:rsidRPr="00873A3F">
              <w:rPr>
                <w:color w:val="000000"/>
              </w:rPr>
              <w:t xml:space="preserve"> 12+CH; with exception of Online and Law</w:t>
            </w:r>
          </w:p>
        </w:tc>
      </w:tr>
      <w:tr w:rsidR="00F55C51" w:rsidRPr="00F55C51" w14:paraId="1E025301" w14:textId="77777777" w:rsidTr="00EC433F">
        <w:trPr>
          <w:trHeight w:val="157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26B3091" w14:textId="77777777" w:rsidR="00F55C51" w:rsidRPr="00873A3F" w:rsidRDefault="00F55C51" w:rsidP="00F55C51">
            <w:pPr>
              <w:rPr>
                <w:color w:val="000000"/>
              </w:rPr>
            </w:pPr>
            <w:r w:rsidRPr="00873A3F">
              <w:rPr>
                <w:color w:val="000000"/>
              </w:rPr>
              <w:t>University of Oklahoma</w:t>
            </w:r>
          </w:p>
        </w:tc>
        <w:tc>
          <w:tcPr>
            <w:tcW w:w="6045" w:type="dxa"/>
            <w:tcBorders>
              <w:top w:val="nil"/>
              <w:left w:val="nil"/>
              <w:bottom w:val="single" w:sz="4" w:space="0" w:color="auto"/>
              <w:right w:val="single" w:sz="4" w:space="0" w:color="auto"/>
            </w:tcBorders>
            <w:shd w:val="clear" w:color="auto" w:fill="auto"/>
            <w:vAlign w:val="center"/>
            <w:hideMark/>
          </w:tcPr>
          <w:p w14:paraId="5532EEDC" w14:textId="277636D3" w:rsidR="00F55C51" w:rsidRPr="00873A3F" w:rsidRDefault="00515231" w:rsidP="00F55C51">
            <w:pPr>
              <w:rPr>
                <w:color w:val="000000"/>
              </w:rPr>
            </w:pPr>
            <w:r>
              <w:rPr>
                <w:color w:val="000000"/>
              </w:rPr>
              <w:t>Plateau for 12+CH</w:t>
            </w:r>
            <w:r w:rsidR="00F55C51" w:rsidRPr="00873A3F">
              <w:rPr>
                <w:color w:val="000000"/>
              </w:rPr>
              <w:t xml:space="preserve"> </w:t>
            </w:r>
            <w:r w:rsidR="00F55C51" w:rsidRPr="00873A3F">
              <w:rPr>
                <w:color w:val="000000"/>
              </w:rPr>
              <w:br/>
              <w:t xml:space="preserve">Students who are charged the </w:t>
            </w:r>
            <w:r>
              <w:rPr>
                <w:color w:val="000000"/>
              </w:rPr>
              <w:t>plateau</w:t>
            </w:r>
            <w:r w:rsidR="00F55C51" w:rsidRPr="00873A3F">
              <w:rPr>
                <w:color w:val="000000"/>
              </w:rPr>
              <w:t xml:space="preserve"> rate and take fewer than 15 hours per semester may be able to bank hours to use in the summer.</w:t>
            </w:r>
            <w:r w:rsidR="00F55C51" w:rsidRPr="00873A3F">
              <w:rPr>
                <w:color w:val="000000"/>
              </w:rPr>
              <w:br/>
              <w:t>Guaranteed Tuition Program available to resident for 15% additional charge</w:t>
            </w:r>
          </w:p>
        </w:tc>
      </w:tr>
      <w:tr w:rsidR="00F55C51" w:rsidRPr="00F55C51" w14:paraId="6CB8F8D2" w14:textId="77777777" w:rsidTr="00EC433F">
        <w:trPr>
          <w:trHeight w:val="315"/>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A37021D" w14:textId="77777777" w:rsidR="00F55C51" w:rsidRPr="00873A3F" w:rsidRDefault="00F55C51" w:rsidP="00F55C51">
            <w:pPr>
              <w:rPr>
                <w:color w:val="000000"/>
              </w:rPr>
            </w:pPr>
            <w:r w:rsidRPr="00873A3F">
              <w:rPr>
                <w:color w:val="000000"/>
              </w:rPr>
              <w:t>University of Tennessee</w:t>
            </w:r>
          </w:p>
        </w:tc>
        <w:tc>
          <w:tcPr>
            <w:tcW w:w="6045" w:type="dxa"/>
            <w:tcBorders>
              <w:top w:val="nil"/>
              <w:left w:val="nil"/>
              <w:bottom w:val="single" w:sz="4" w:space="0" w:color="auto"/>
              <w:right w:val="single" w:sz="4" w:space="0" w:color="auto"/>
            </w:tcBorders>
            <w:shd w:val="clear" w:color="auto" w:fill="auto"/>
            <w:vAlign w:val="center"/>
            <w:hideMark/>
          </w:tcPr>
          <w:p w14:paraId="0B58E795" w14:textId="6AFB4C83" w:rsidR="00F55C51" w:rsidRPr="00873A3F" w:rsidRDefault="00515231" w:rsidP="00F55C51">
            <w:pPr>
              <w:rPr>
                <w:color w:val="000000"/>
              </w:rPr>
            </w:pPr>
            <w:r>
              <w:rPr>
                <w:color w:val="000000"/>
              </w:rPr>
              <w:t>Plateau</w:t>
            </w:r>
            <w:r w:rsidR="00F55C51" w:rsidRPr="00873A3F">
              <w:rPr>
                <w:color w:val="000000"/>
              </w:rPr>
              <w:t xml:space="preserve"> for 12+ CH </w:t>
            </w:r>
          </w:p>
        </w:tc>
      </w:tr>
      <w:tr w:rsidR="00F55C51" w:rsidRPr="00F55C51" w14:paraId="3ED4F154" w14:textId="77777777" w:rsidTr="00EC433F">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F2E8B40" w14:textId="77777777" w:rsidR="00F55C51" w:rsidRPr="00873A3F" w:rsidRDefault="00F55C51" w:rsidP="00F55C51">
            <w:pPr>
              <w:rPr>
                <w:color w:val="000000"/>
              </w:rPr>
            </w:pPr>
            <w:r w:rsidRPr="00873A3F">
              <w:rPr>
                <w:color w:val="000000"/>
              </w:rPr>
              <w:t>University of Wisconsin - System</w:t>
            </w:r>
          </w:p>
        </w:tc>
        <w:tc>
          <w:tcPr>
            <w:tcW w:w="6045" w:type="dxa"/>
            <w:tcBorders>
              <w:top w:val="nil"/>
              <w:left w:val="nil"/>
              <w:bottom w:val="single" w:sz="4" w:space="0" w:color="auto"/>
              <w:right w:val="single" w:sz="4" w:space="0" w:color="auto"/>
            </w:tcBorders>
            <w:shd w:val="clear" w:color="auto" w:fill="auto"/>
            <w:vAlign w:val="center"/>
            <w:hideMark/>
          </w:tcPr>
          <w:p w14:paraId="07A0CC94" w14:textId="5C7766FD" w:rsidR="00F55C51" w:rsidRPr="00873A3F" w:rsidRDefault="00515231" w:rsidP="00F55C51">
            <w:pPr>
              <w:rPr>
                <w:color w:val="000000"/>
              </w:rPr>
            </w:pPr>
            <w:r>
              <w:rPr>
                <w:color w:val="000000"/>
              </w:rPr>
              <w:t>Plateau</w:t>
            </w:r>
            <w:r w:rsidR="00F55C51" w:rsidRPr="00873A3F">
              <w:rPr>
                <w:color w:val="000000"/>
              </w:rPr>
              <w:t xml:space="preserve"> for 12-18 CH</w:t>
            </w:r>
          </w:p>
        </w:tc>
      </w:tr>
      <w:tr w:rsidR="00515231" w:rsidRPr="00F55C51" w14:paraId="0BE2CD93" w14:textId="77777777" w:rsidTr="00EC433F">
        <w:trPr>
          <w:trHeight w:val="63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A3AF9C3" w14:textId="498C0599" w:rsidR="00515231" w:rsidRPr="00873A3F" w:rsidRDefault="00515231" w:rsidP="00F55C51">
            <w:pPr>
              <w:rPr>
                <w:color w:val="000000"/>
              </w:rPr>
            </w:pPr>
            <w:r w:rsidRPr="00873A3F">
              <w:rPr>
                <w:color w:val="000000"/>
              </w:rPr>
              <w:t>Truman State</w:t>
            </w:r>
          </w:p>
        </w:tc>
        <w:tc>
          <w:tcPr>
            <w:tcW w:w="6045" w:type="dxa"/>
            <w:tcBorders>
              <w:top w:val="nil"/>
              <w:left w:val="nil"/>
              <w:bottom w:val="single" w:sz="4" w:space="0" w:color="auto"/>
              <w:right w:val="single" w:sz="4" w:space="0" w:color="auto"/>
            </w:tcBorders>
            <w:shd w:val="clear" w:color="auto" w:fill="auto"/>
            <w:vAlign w:val="center"/>
            <w:hideMark/>
          </w:tcPr>
          <w:p w14:paraId="138C63F1" w14:textId="230D38F7" w:rsidR="00515231" w:rsidRPr="00873A3F" w:rsidRDefault="00515231" w:rsidP="00F55C51">
            <w:pPr>
              <w:rPr>
                <w:color w:val="000000"/>
              </w:rPr>
            </w:pPr>
            <w:r w:rsidRPr="00873A3F">
              <w:rPr>
                <w:color w:val="000000"/>
              </w:rPr>
              <w:t>Flat Rate for 12-17 CH</w:t>
            </w:r>
          </w:p>
        </w:tc>
      </w:tr>
    </w:tbl>
    <w:p w14:paraId="1137907E" w14:textId="5F4B3D77" w:rsidR="00F55C51" w:rsidRDefault="00786008" w:rsidP="005B60C8">
      <w:pPr>
        <w:jc w:val="both"/>
      </w:pPr>
      <w:r w:rsidRPr="00822B7E">
        <w:rPr>
          <w:i/>
          <w:color w:val="000000" w:themeColor="text1"/>
          <w:sz w:val="18"/>
          <w:szCs w:val="18"/>
        </w:rPr>
        <w:t xml:space="preserve">Source: Independent analysis of institution </w:t>
      </w:r>
      <w:r w:rsidRPr="00126F02">
        <w:rPr>
          <w:i/>
          <w:color w:val="000000" w:themeColor="text1"/>
          <w:sz w:val="18"/>
          <w:szCs w:val="18"/>
        </w:rPr>
        <w:t xml:space="preserve">websites as of </w:t>
      </w:r>
      <w:r w:rsidR="00126F02" w:rsidRPr="00126F02">
        <w:rPr>
          <w:i/>
          <w:color w:val="000000" w:themeColor="text1"/>
          <w:sz w:val="18"/>
          <w:szCs w:val="18"/>
        </w:rPr>
        <w:t xml:space="preserve">February 2020 </w:t>
      </w:r>
    </w:p>
    <w:p w14:paraId="33E5E4D4" w14:textId="77777777" w:rsidR="000D4CAD" w:rsidRDefault="000D4CAD" w:rsidP="005B60C8">
      <w:pPr>
        <w:jc w:val="both"/>
      </w:pPr>
    </w:p>
    <w:p w14:paraId="6EFD3D49" w14:textId="4BFC94D1" w:rsidR="005B60C8" w:rsidRDefault="005B60C8" w:rsidP="005B60C8">
      <w:pPr>
        <w:jc w:val="both"/>
      </w:pPr>
      <w:r w:rsidRPr="00AD5F72">
        <w:t xml:space="preserve">When converting from a per credit hour tuition rate, </w:t>
      </w:r>
      <w:r>
        <w:t xml:space="preserve">it is important for Universities to project </w:t>
      </w:r>
      <w:r w:rsidRPr="00AD5F72">
        <w:t>changes in student credit hour consumption.</w:t>
      </w:r>
      <w:r>
        <w:t xml:space="preserve">  Over the spring and summer, each university will model the impact of their pricing strategies on the student population.  The modeling will help determine both the changes in the revenues and the cost to the students.  For the Universities implementing plateaus, they must also consider implementing some form of cap on the plateau to ensure students do not take too heavy of a load without appropriate approval.  This can either be done with a cap on eligible hours (17 or 18 are not uncommon ending points for the plateau) or a requirement for additional approval to enroll in more than a set number of credit hours.</w:t>
      </w:r>
    </w:p>
    <w:p w14:paraId="0424FE74" w14:textId="77777777" w:rsidR="005B60C8" w:rsidRDefault="005B60C8" w:rsidP="005B60C8">
      <w:pPr>
        <w:rPr>
          <w:color w:val="000000" w:themeColor="text1"/>
          <w:u w:val="single"/>
        </w:rPr>
      </w:pPr>
    </w:p>
    <w:p w14:paraId="55048EBA" w14:textId="77777777" w:rsidR="004F30A7" w:rsidRDefault="004F30A7">
      <w:pPr>
        <w:spacing w:after="160" w:line="259" w:lineRule="auto"/>
        <w:rPr>
          <w:color w:val="000000" w:themeColor="text1"/>
          <w:u w:val="single"/>
        </w:rPr>
      </w:pPr>
      <w:r>
        <w:rPr>
          <w:color w:val="000000" w:themeColor="text1"/>
          <w:u w:val="single"/>
        </w:rPr>
        <w:br w:type="page"/>
      </w:r>
    </w:p>
    <w:p w14:paraId="1A424F08" w14:textId="2064C5CA" w:rsidR="005B60C8" w:rsidRDefault="005B60C8" w:rsidP="005B60C8">
      <w:pPr>
        <w:rPr>
          <w:color w:val="000000" w:themeColor="text1"/>
          <w:u w:val="single"/>
        </w:rPr>
      </w:pPr>
      <w:r>
        <w:rPr>
          <w:color w:val="000000" w:themeColor="text1"/>
          <w:u w:val="single"/>
        </w:rPr>
        <w:lastRenderedPageBreak/>
        <w:t>Summaries by Campus</w:t>
      </w:r>
    </w:p>
    <w:p w14:paraId="7CDEA3CB" w14:textId="77777777" w:rsidR="005B60C8" w:rsidRDefault="005B60C8" w:rsidP="005B60C8">
      <w:pPr>
        <w:rPr>
          <w:color w:val="000000" w:themeColor="text1"/>
          <w:u w:val="single"/>
        </w:rPr>
      </w:pPr>
    </w:p>
    <w:p w14:paraId="043EA44D" w14:textId="651511F8" w:rsidR="005B60C8" w:rsidRDefault="005B60C8" w:rsidP="005B60C8">
      <w:pPr>
        <w:rPr>
          <w:color w:val="000000" w:themeColor="text1"/>
          <w:u w:val="single"/>
        </w:rPr>
      </w:pPr>
      <w:r>
        <w:rPr>
          <w:color w:val="000000" w:themeColor="text1"/>
          <w:u w:val="single"/>
        </w:rPr>
        <w:t>MU</w:t>
      </w:r>
    </w:p>
    <w:p w14:paraId="7231D3B2" w14:textId="745F533F" w:rsidR="005B60C8" w:rsidRDefault="005B60C8" w:rsidP="005B60C8">
      <w:pPr>
        <w:rPr>
          <w:color w:val="000000" w:themeColor="text1"/>
          <w:u w:val="single"/>
        </w:rPr>
      </w:pPr>
    </w:p>
    <w:p w14:paraId="7C933691" w14:textId="53FDD4A2" w:rsidR="005B60C8" w:rsidRDefault="005B60C8" w:rsidP="005B60C8">
      <w:pPr>
        <w:jc w:val="both"/>
      </w:pPr>
      <w:r>
        <w:t xml:space="preserve">The University of Missouri is evaluating the adoption of a plateaued undergraduate tuition structure that would be differentiated by a student’s primary program of study. The </w:t>
      </w:r>
      <w:r w:rsidRPr="00517C5A">
        <w:t xml:space="preserve">structure would apply to students enrolled in </w:t>
      </w:r>
      <w:r>
        <w:t xml:space="preserve">on-campus and </w:t>
      </w:r>
      <w:r w:rsidRPr="00517C5A">
        <w:t>distance</w:t>
      </w:r>
      <w:r>
        <w:t xml:space="preserve"> degree</w:t>
      </w:r>
      <w:r w:rsidRPr="00517C5A">
        <w:t xml:space="preserve"> programs.</w:t>
      </w:r>
      <w:r>
        <w:t xml:space="preserve">  Three to five rates would be established to group programs into comparable tiers and consolidate current fee structures. </w:t>
      </w:r>
    </w:p>
    <w:p w14:paraId="36A14FE3" w14:textId="77777777" w:rsidR="005B60C8" w:rsidRDefault="005B60C8" w:rsidP="005B60C8">
      <w:pPr>
        <w:jc w:val="both"/>
      </w:pPr>
    </w:p>
    <w:p w14:paraId="65829101" w14:textId="77777777" w:rsidR="005B60C8" w:rsidRDefault="005B60C8" w:rsidP="005B60C8">
      <w:pPr>
        <w:jc w:val="both"/>
      </w:pPr>
      <w:r>
        <w:t>The plateau within each tier will allow students to take from 12 to 18 credit hours per term. The ability to take up to 18 credit hours per term will facilitate student’s ability to complete their degree in four years without additional cost.</w:t>
      </w:r>
      <w:r w:rsidRPr="005274FB">
        <w:t xml:space="preserve"> </w:t>
      </w:r>
      <w:r>
        <w:t xml:space="preserve">Assessed tuition </w:t>
      </w:r>
      <w:r w:rsidRPr="005274FB">
        <w:t>based on the student’s program of study</w:t>
      </w:r>
      <w:r>
        <w:t xml:space="preserve"> will provide consistency and the ability for students and families to plan for future terms. </w:t>
      </w:r>
    </w:p>
    <w:p w14:paraId="5D01AF86" w14:textId="77777777" w:rsidR="005B60C8" w:rsidRDefault="005B60C8" w:rsidP="005B60C8">
      <w:pPr>
        <w:jc w:val="both"/>
      </w:pPr>
    </w:p>
    <w:p w14:paraId="24B7918E" w14:textId="2296025F" w:rsidR="005B60C8" w:rsidRDefault="005B60C8" w:rsidP="005B60C8">
      <w:pPr>
        <w:jc w:val="both"/>
      </w:pPr>
      <w:r>
        <w:t xml:space="preserve">The most crucial aspect for a successful transition and implementation will be effective communication. Stakeholder engagement for this project will span many constituencies both internal and external to the University. Internal communication will begin in 2020 with small focus groups of current students, faculty and staff. Through these focus groups </w:t>
      </w:r>
      <w:r w:rsidR="0039080F">
        <w:t>i</w:t>
      </w:r>
      <w:r>
        <w:t xml:space="preserve">nsight </w:t>
      </w:r>
      <w:r w:rsidR="0039080F">
        <w:t xml:space="preserve">will be gained </w:t>
      </w:r>
      <w:r>
        <w:t xml:space="preserve">into the preferences presented through the tiered model system and the potential challenges as we move from our current tuition model.   This feedback would enhance </w:t>
      </w:r>
      <w:r w:rsidR="0039080F">
        <w:t xml:space="preserve">the </w:t>
      </w:r>
      <w:r>
        <w:t xml:space="preserve">proposal that </w:t>
      </w:r>
      <w:r w:rsidR="0039080F">
        <w:t>is planned to be presented to</w:t>
      </w:r>
      <w:r>
        <w:t xml:space="preserve"> the Board of Curators</w:t>
      </w:r>
      <w:r w:rsidR="0039080F">
        <w:t xml:space="preserve"> in the spring of 2021 for approval</w:t>
      </w:r>
      <w:r>
        <w:t xml:space="preserve">.  With </w:t>
      </w:r>
      <w:r w:rsidR="0039080F">
        <w:t xml:space="preserve">the approval </w:t>
      </w:r>
      <w:r>
        <w:t xml:space="preserve">from the Board </w:t>
      </w:r>
      <w:r w:rsidR="0039080F">
        <w:t xml:space="preserve">in the spring of 2021, communication </w:t>
      </w:r>
      <w:r>
        <w:t>would begin with our most critical external constituency, prospective students, regarding the transition to a new tuition structure.  The changes to the tuition structure will be considered thoughtfully and likely implemented over a period of time, to allow for adequate communication for new students and a period of transition for current students.</w:t>
      </w:r>
    </w:p>
    <w:p w14:paraId="3157C150" w14:textId="77777777" w:rsidR="005B60C8" w:rsidRDefault="005B60C8" w:rsidP="005B60C8">
      <w:pPr>
        <w:rPr>
          <w:color w:val="000000" w:themeColor="text1"/>
          <w:u w:val="single"/>
        </w:rPr>
      </w:pPr>
    </w:p>
    <w:p w14:paraId="0E9FF3E8" w14:textId="12A2372E" w:rsidR="005B60C8" w:rsidRDefault="005B60C8" w:rsidP="005B60C8">
      <w:pPr>
        <w:rPr>
          <w:color w:val="000000" w:themeColor="text1"/>
          <w:u w:val="single"/>
        </w:rPr>
      </w:pPr>
      <w:r>
        <w:rPr>
          <w:color w:val="000000" w:themeColor="text1"/>
          <w:u w:val="single"/>
        </w:rPr>
        <w:t>UMKC</w:t>
      </w:r>
    </w:p>
    <w:p w14:paraId="295CB697" w14:textId="742BA46B" w:rsidR="005B60C8" w:rsidRDefault="005B60C8" w:rsidP="005B60C8">
      <w:pPr>
        <w:rPr>
          <w:color w:val="000000" w:themeColor="text1"/>
          <w:u w:val="single"/>
        </w:rPr>
      </w:pPr>
    </w:p>
    <w:p w14:paraId="64D5983E" w14:textId="3A315A4F" w:rsidR="005B60C8" w:rsidRPr="00E4116C" w:rsidRDefault="005B60C8" w:rsidP="005B60C8">
      <w:pPr>
        <w:jc w:val="both"/>
        <w:rPr>
          <w:color w:val="000000" w:themeColor="text1"/>
        </w:rPr>
      </w:pPr>
      <w:bookmarkStart w:id="1" w:name="_Hlk42239049"/>
      <w:bookmarkStart w:id="2" w:name="_Hlk42238954"/>
      <w:r w:rsidRPr="00E4116C">
        <w:rPr>
          <w:color w:val="000000" w:themeColor="text1"/>
        </w:rPr>
        <w:t xml:space="preserve">During the summer and fall of 2019 </w:t>
      </w:r>
      <w:r w:rsidRPr="00515231">
        <w:rPr>
          <w:color w:val="000000" w:themeColor="text1"/>
        </w:rPr>
        <w:t>UMKC</w:t>
      </w:r>
      <w:r w:rsidRPr="00E4116C">
        <w:rPr>
          <w:color w:val="000000" w:themeColor="text1"/>
        </w:rPr>
        <w:t xml:space="preserve"> undertook a comprehensive review of its existing tuition and fees with a view to find strategies to improve the pricing structure, leading to an improved student experience and improved overall performance.  </w:t>
      </w:r>
      <w:r w:rsidR="002675B5">
        <w:rPr>
          <w:color w:val="000000" w:themeColor="text1"/>
        </w:rPr>
        <w:t xml:space="preserve">After performing the review, UMKC </w:t>
      </w:r>
      <w:r w:rsidR="003E2357">
        <w:rPr>
          <w:color w:val="000000" w:themeColor="text1"/>
        </w:rPr>
        <w:t>has decided to move forward with differential program pricing using a tiered tuition model for the higher cost programs.  This will eliminate supplemental fees within these programs and make pricing easier for students to predict.  The movement towards differential pricing is also supported by UMKC’s academic portfolio review and UMKC Forward. This process will encompass a review of colleges and degrees for academic quality and degree demand coupled with related margins on degree programs.</w:t>
      </w:r>
    </w:p>
    <w:bookmarkEnd w:id="1"/>
    <w:p w14:paraId="4C9065EF" w14:textId="77777777" w:rsidR="005B60C8" w:rsidRPr="00882DD9" w:rsidRDefault="005B60C8" w:rsidP="005B60C8">
      <w:pPr>
        <w:jc w:val="both"/>
        <w:rPr>
          <w:color w:val="000000" w:themeColor="text1"/>
        </w:rPr>
      </w:pPr>
    </w:p>
    <w:p w14:paraId="5AA369AC" w14:textId="6CB43BAD" w:rsidR="005B60C8" w:rsidRPr="00882DD9" w:rsidRDefault="003E2357" w:rsidP="005B60C8">
      <w:pPr>
        <w:jc w:val="both"/>
        <w:rPr>
          <w:color w:val="000000" w:themeColor="text1"/>
        </w:rPr>
      </w:pPr>
      <w:r>
        <w:rPr>
          <w:color w:val="000000" w:themeColor="text1"/>
        </w:rPr>
        <w:t>UMKC has reviewed plateau pricing, but it does not appear to fit the undergraduate population that trends more towards part-time students who come to UMKC to finish their degree.</w:t>
      </w:r>
      <w:r w:rsidR="005B60C8" w:rsidRPr="00E4116C">
        <w:rPr>
          <w:color w:val="000000" w:themeColor="text1"/>
        </w:rPr>
        <w:t xml:space="preserve">  The plateau(s) being reviewed </w:t>
      </w:r>
      <w:r>
        <w:rPr>
          <w:color w:val="000000" w:themeColor="text1"/>
        </w:rPr>
        <w:t>allowed</w:t>
      </w:r>
      <w:r w:rsidR="005B60C8" w:rsidRPr="00E4116C">
        <w:rPr>
          <w:color w:val="000000" w:themeColor="text1"/>
        </w:rPr>
        <w:t xml:space="preserve"> a student to take 12 to 18 hours a semester </w:t>
      </w:r>
      <w:r w:rsidR="005B60C8" w:rsidRPr="00E4116C">
        <w:rPr>
          <w:color w:val="000000" w:themeColor="text1"/>
        </w:rPr>
        <w:lastRenderedPageBreak/>
        <w:t xml:space="preserve">for one set fee.  UMKC’s undergraduate entering class this past fall was 52% first-time-college and 48% transfer students (excludes dual high school students).  The average </w:t>
      </w:r>
      <w:r w:rsidR="000A0ECA">
        <w:rPr>
          <w:color w:val="000000" w:themeColor="text1"/>
        </w:rPr>
        <w:t>First Time College (</w:t>
      </w:r>
      <w:r w:rsidR="005B60C8" w:rsidRPr="00E4116C">
        <w:rPr>
          <w:color w:val="000000" w:themeColor="text1"/>
        </w:rPr>
        <w:t>FTC</w:t>
      </w:r>
      <w:r w:rsidR="000A0ECA">
        <w:rPr>
          <w:color w:val="000000" w:themeColor="text1"/>
        </w:rPr>
        <w:t>)</w:t>
      </w:r>
      <w:r w:rsidR="005B60C8" w:rsidRPr="00E4116C">
        <w:rPr>
          <w:color w:val="000000" w:themeColor="text1"/>
        </w:rPr>
        <w:t xml:space="preserve"> student enrolled in 14.33 hours and the transfer students averaged 2 hours less.  Affordability and financial need are critical concerns for students.  Many students have full-time jobs and family commitments, and the opportunity to actually enroll in more than 12 hours may be impractical.  </w:t>
      </w:r>
    </w:p>
    <w:p w14:paraId="4A19E23F" w14:textId="77777777" w:rsidR="005B60C8" w:rsidRPr="00E4116C" w:rsidRDefault="005B60C8" w:rsidP="005B60C8">
      <w:pPr>
        <w:jc w:val="both"/>
        <w:rPr>
          <w:color w:val="000000" w:themeColor="text1"/>
        </w:rPr>
      </w:pPr>
    </w:p>
    <w:p w14:paraId="5E0960E7" w14:textId="7437087D" w:rsidR="005B60C8" w:rsidRPr="00E4116C" w:rsidRDefault="003E2357" w:rsidP="005B60C8">
      <w:pPr>
        <w:jc w:val="both"/>
        <w:rPr>
          <w:color w:val="000000" w:themeColor="text1"/>
        </w:rPr>
      </w:pPr>
      <w:r>
        <w:rPr>
          <w:color w:val="000000" w:themeColor="text1"/>
        </w:rPr>
        <w:t>UMKC plans</w:t>
      </w:r>
      <w:r w:rsidR="00455E75">
        <w:rPr>
          <w:color w:val="000000" w:themeColor="text1"/>
        </w:rPr>
        <w:t xml:space="preserve"> to</w:t>
      </w:r>
      <w:r w:rsidR="005B60C8" w:rsidRPr="00E4116C">
        <w:rPr>
          <w:color w:val="000000" w:themeColor="text1"/>
        </w:rPr>
        <w:t xml:space="preserve"> simplify </w:t>
      </w:r>
      <w:r w:rsidR="00233B1C">
        <w:rPr>
          <w:color w:val="000000" w:themeColor="text1"/>
        </w:rPr>
        <w:t>s</w:t>
      </w:r>
      <w:r w:rsidR="00233B1C" w:rsidRPr="00E4116C">
        <w:rPr>
          <w:color w:val="000000" w:themeColor="text1"/>
        </w:rPr>
        <w:t xml:space="preserve">tudent activity </w:t>
      </w:r>
      <w:r w:rsidR="00982455" w:rsidRPr="00E4116C">
        <w:rPr>
          <w:color w:val="000000" w:themeColor="text1"/>
        </w:rPr>
        <w:t>fees is</w:t>
      </w:r>
      <w:r w:rsidR="005B60C8" w:rsidRPr="00E4116C">
        <w:rPr>
          <w:color w:val="000000" w:themeColor="text1"/>
        </w:rPr>
        <w:t xml:space="preserve"> continuing</w:t>
      </w:r>
      <w:r>
        <w:rPr>
          <w:color w:val="000000" w:themeColor="text1"/>
        </w:rPr>
        <w:t xml:space="preserve"> by rolling the separate rates and charging structures for mandatory fees into a single fee</w:t>
      </w:r>
      <w:r w:rsidR="005B60C8" w:rsidRPr="00E4116C">
        <w:rPr>
          <w:color w:val="000000" w:themeColor="text1"/>
        </w:rPr>
        <w:t>.</w:t>
      </w:r>
      <w:r>
        <w:rPr>
          <w:color w:val="000000" w:themeColor="text1"/>
        </w:rPr>
        <w:t xml:space="preserve">  This will simplify the bill and related pricing variables for students.</w:t>
      </w:r>
      <w:r w:rsidR="005B60C8" w:rsidRPr="00E4116C">
        <w:rPr>
          <w:color w:val="000000" w:themeColor="text1"/>
        </w:rPr>
        <w:t xml:space="preserve"> </w:t>
      </w:r>
      <w:r>
        <w:rPr>
          <w:color w:val="000000" w:themeColor="text1"/>
        </w:rPr>
        <w:t xml:space="preserve"> UMKC plans to continue to work with student groups and other constituents over the next year to ensure the combination into a single fee is still transparent for students, as students have been involved in the use of the funding from these fees in the past.  The goal is to simplify the pricing structure while still providing transparency into the use of funds.  Both the fee simplification and the differential tuition proposal will be finalized by Spring 2021 for approval.  </w:t>
      </w:r>
    </w:p>
    <w:bookmarkEnd w:id="2"/>
    <w:p w14:paraId="28D76BD7" w14:textId="77777777" w:rsidR="005B60C8" w:rsidRDefault="005B60C8" w:rsidP="005B60C8">
      <w:pPr>
        <w:rPr>
          <w:color w:val="000000" w:themeColor="text1"/>
          <w:u w:val="single"/>
        </w:rPr>
      </w:pPr>
    </w:p>
    <w:p w14:paraId="6B50DC7D" w14:textId="4831791A" w:rsidR="005B60C8" w:rsidRPr="000C5326" w:rsidRDefault="005B60C8" w:rsidP="005B60C8">
      <w:pPr>
        <w:rPr>
          <w:color w:val="000000" w:themeColor="text1"/>
          <w:u w:val="single"/>
        </w:rPr>
      </w:pPr>
      <w:r w:rsidRPr="000C5326">
        <w:rPr>
          <w:color w:val="000000" w:themeColor="text1"/>
          <w:u w:val="single"/>
        </w:rPr>
        <w:t>UMSL</w:t>
      </w:r>
    </w:p>
    <w:p w14:paraId="182788E5" w14:textId="2CFFB93B" w:rsidR="005B60C8" w:rsidRDefault="005B60C8" w:rsidP="005B60C8">
      <w:pPr>
        <w:rPr>
          <w:color w:val="000000" w:themeColor="text1"/>
          <w:highlight w:val="yellow"/>
          <w:u w:val="single"/>
        </w:rPr>
      </w:pPr>
    </w:p>
    <w:p w14:paraId="3FBB78CE" w14:textId="11B36FF1" w:rsidR="005B60C8" w:rsidRPr="000C5326" w:rsidRDefault="005B60C8" w:rsidP="0003110F">
      <w:pPr>
        <w:jc w:val="both"/>
        <w:rPr>
          <w:color w:val="000000" w:themeColor="text1"/>
        </w:rPr>
      </w:pPr>
      <w:r w:rsidRPr="000C5326">
        <w:rPr>
          <w:color w:val="000000" w:themeColor="text1"/>
        </w:rPr>
        <w:t>The Un</w:t>
      </w:r>
      <w:r>
        <w:rPr>
          <w:color w:val="000000" w:themeColor="text1"/>
        </w:rPr>
        <w:t>iversity of Missouri – St. Louis (UMSL) is considering implementing a tiered fee model based upon the student’s declared major.  The tiers will bundle together pricing for like programs based upon the cost to deliver the program, and consolidate what are now previously separate fees.  The bundling of the fees provides a more predictable model for students, as they are able to understand their cost by the declared major.  This model also reduces the cross subsidies across programs, as students will pay an amount closer to the actual cost of their program.  UMSL is also considering the implementation of a plateau model, but the plateau model presents more challenge for UMSL due to the consumption patterns and differences in their current student population.  UMSL desires the benefits of increased retention and graduation rates from plateau models, and is currently considering how to develop a strategy that delivers this to their specific student population, which tends to be more non-traditional and part-time.</w:t>
      </w:r>
    </w:p>
    <w:p w14:paraId="161658D8" w14:textId="77777777" w:rsidR="005B60C8" w:rsidRPr="00E4116C" w:rsidRDefault="005B60C8" w:rsidP="005B60C8">
      <w:pPr>
        <w:rPr>
          <w:color w:val="000000" w:themeColor="text1"/>
          <w:highlight w:val="yellow"/>
          <w:u w:val="single"/>
        </w:rPr>
      </w:pPr>
    </w:p>
    <w:p w14:paraId="725B206C" w14:textId="1BFC9270" w:rsidR="005B60C8" w:rsidRPr="003710A6" w:rsidRDefault="005B60C8" w:rsidP="005B60C8">
      <w:pPr>
        <w:rPr>
          <w:color w:val="000000" w:themeColor="text1"/>
          <w:u w:val="single"/>
        </w:rPr>
      </w:pPr>
      <w:r w:rsidRPr="003710A6">
        <w:rPr>
          <w:color w:val="000000" w:themeColor="text1"/>
          <w:u w:val="single"/>
        </w:rPr>
        <w:t>S&amp;T</w:t>
      </w:r>
    </w:p>
    <w:p w14:paraId="2CF7B3CA" w14:textId="438A9333" w:rsidR="005B60C8" w:rsidRPr="003710A6" w:rsidRDefault="005B60C8" w:rsidP="005B60C8">
      <w:pPr>
        <w:rPr>
          <w:color w:val="000000" w:themeColor="text1"/>
          <w:u w:val="single"/>
        </w:rPr>
      </w:pPr>
    </w:p>
    <w:p w14:paraId="35B91D3B" w14:textId="2EF75F8E" w:rsidR="005B60C8" w:rsidRDefault="005B60C8" w:rsidP="00873A3F">
      <w:pPr>
        <w:jc w:val="both"/>
        <w:rPr>
          <w:color w:val="000000" w:themeColor="text1"/>
        </w:rPr>
      </w:pPr>
      <w:bookmarkStart w:id="3" w:name="_Hlk41599750"/>
      <w:bookmarkStart w:id="4" w:name="_Hlk41599507"/>
      <w:r w:rsidRPr="00972777">
        <w:rPr>
          <w:color w:val="000000" w:themeColor="text1"/>
        </w:rPr>
        <w:t>Missouri S&amp;T</w:t>
      </w:r>
      <w:r w:rsidRPr="003710A6">
        <w:rPr>
          <w:color w:val="000000" w:themeColor="text1"/>
        </w:rPr>
        <w:t xml:space="preserve"> is considering the adoption of a plateaued tuition structure with additional program fees for Engineering, Computing and Business programs.  Arts and Sciences programs will be proposed to maintain at the base rate.  Current plans for the plateau encompass 12 to </w:t>
      </w:r>
      <w:r w:rsidR="00EE31F2">
        <w:rPr>
          <w:color w:val="000000" w:themeColor="text1"/>
        </w:rPr>
        <w:t>18</w:t>
      </w:r>
      <w:r w:rsidRPr="003710A6">
        <w:rPr>
          <w:color w:val="000000" w:themeColor="text1"/>
        </w:rPr>
        <w:t xml:space="preserve"> hours, providing a large range of credit hours to encourage students to take a full load for completion.  Charges above and below the plateau will be based upon an hourly rate.  In addition, Missouri S&amp;T plans to </w:t>
      </w:r>
      <w:r w:rsidR="00EE31F2">
        <w:rPr>
          <w:color w:val="000000" w:themeColor="text1"/>
        </w:rPr>
        <w:t xml:space="preserve">consolidate </w:t>
      </w:r>
      <w:r w:rsidRPr="003710A6">
        <w:rPr>
          <w:color w:val="000000" w:themeColor="text1"/>
        </w:rPr>
        <w:t xml:space="preserve">mandatory fees </w:t>
      </w:r>
      <w:r w:rsidR="00EE31F2">
        <w:rPr>
          <w:color w:val="000000" w:themeColor="text1"/>
        </w:rPr>
        <w:t xml:space="preserve">into simplified </w:t>
      </w:r>
      <w:proofErr w:type="gramStart"/>
      <w:r w:rsidR="00EE31F2">
        <w:rPr>
          <w:color w:val="000000" w:themeColor="text1"/>
        </w:rPr>
        <w:t xml:space="preserve">groups </w:t>
      </w:r>
      <w:r w:rsidRPr="003710A6">
        <w:rPr>
          <w:color w:val="000000" w:themeColor="text1"/>
        </w:rPr>
        <w:t>.</w:t>
      </w:r>
      <w:proofErr w:type="gramEnd"/>
    </w:p>
    <w:bookmarkEnd w:id="3"/>
    <w:p w14:paraId="19A339E7" w14:textId="77777777" w:rsidR="005B60C8" w:rsidRDefault="005B60C8" w:rsidP="00873A3F">
      <w:pPr>
        <w:jc w:val="both"/>
        <w:rPr>
          <w:color w:val="000000" w:themeColor="text1"/>
        </w:rPr>
      </w:pPr>
    </w:p>
    <w:p w14:paraId="25F101C0" w14:textId="77777777" w:rsidR="005B60C8" w:rsidRDefault="005B60C8" w:rsidP="00873A3F">
      <w:pPr>
        <w:jc w:val="both"/>
        <w:rPr>
          <w:color w:val="000000" w:themeColor="text1"/>
        </w:rPr>
      </w:pPr>
      <w:r>
        <w:rPr>
          <w:color w:val="000000" w:themeColor="text1"/>
        </w:rPr>
        <w:t>Missouri S&amp;T designed the proposed model to be more student friendly.  The draft model simplifies the pricing variables and makes the student bill easier to predict and understand.  Plateau tuition has the additional benefit of simplifying the refund and course change process, as movements within the plateau do not have to be repriced on the student bill as today’s fees do.</w:t>
      </w:r>
    </w:p>
    <w:p w14:paraId="29DCEA62" w14:textId="77777777" w:rsidR="005B60C8" w:rsidRDefault="005B60C8" w:rsidP="005B60C8">
      <w:pPr>
        <w:rPr>
          <w:color w:val="000000" w:themeColor="text1"/>
        </w:rPr>
      </w:pPr>
    </w:p>
    <w:p w14:paraId="1B187DF5" w14:textId="2AE46630" w:rsidR="005B60C8" w:rsidRDefault="005B60C8" w:rsidP="00873A3F">
      <w:pPr>
        <w:jc w:val="both"/>
        <w:rPr>
          <w:color w:val="000000" w:themeColor="text1"/>
        </w:rPr>
      </w:pPr>
      <w:r>
        <w:rPr>
          <w:color w:val="000000" w:themeColor="text1"/>
        </w:rPr>
        <w:t xml:space="preserve">The new model also facilitates improvements in both retention and graduation.  The model will encourage students to take a full course load with no </w:t>
      </w:r>
      <w:r w:rsidR="00CA4A6C">
        <w:rPr>
          <w:color w:val="000000" w:themeColor="text1"/>
        </w:rPr>
        <w:t>marginal</w:t>
      </w:r>
      <w:r>
        <w:rPr>
          <w:color w:val="000000" w:themeColor="text1"/>
        </w:rPr>
        <w:t xml:space="preserve"> cost for being at a full load of 15 hours.  The plateau rate should:</w:t>
      </w:r>
    </w:p>
    <w:p w14:paraId="17311981" w14:textId="77777777" w:rsidR="004F30A7" w:rsidRDefault="004F30A7" w:rsidP="00873A3F">
      <w:pPr>
        <w:jc w:val="both"/>
        <w:rPr>
          <w:color w:val="000000" w:themeColor="text1"/>
        </w:rPr>
      </w:pPr>
    </w:p>
    <w:p w14:paraId="15A4D701" w14:textId="77777777" w:rsidR="005B60C8" w:rsidRDefault="005B60C8" w:rsidP="004F30A7">
      <w:pPr>
        <w:pStyle w:val="ListParagraph"/>
        <w:numPr>
          <w:ilvl w:val="0"/>
          <w:numId w:val="12"/>
        </w:numPr>
        <w:ind w:left="360"/>
        <w:rPr>
          <w:color w:val="000000" w:themeColor="text1"/>
        </w:rPr>
      </w:pPr>
      <w:r>
        <w:rPr>
          <w:color w:val="000000" w:themeColor="text1"/>
        </w:rPr>
        <w:t>Reduce time to graduation</w:t>
      </w:r>
    </w:p>
    <w:p w14:paraId="6FD90146" w14:textId="77777777" w:rsidR="005B60C8" w:rsidRDefault="005B60C8" w:rsidP="004F30A7">
      <w:pPr>
        <w:pStyle w:val="ListParagraph"/>
        <w:numPr>
          <w:ilvl w:val="0"/>
          <w:numId w:val="12"/>
        </w:numPr>
        <w:ind w:left="360"/>
        <w:rPr>
          <w:color w:val="000000" w:themeColor="text1"/>
        </w:rPr>
      </w:pPr>
      <w:r>
        <w:rPr>
          <w:color w:val="000000" w:themeColor="text1"/>
        </w:rPr>
        <w:t>Improve retention and graduation rates</w:t>
      </w:r>
    </w:p>
    <w:p w14:paraId="7312D84E" w14:textId="77777777" w:rsidR="005B60C8" w:rsidRDefault="005B60C8" w:rsidP="004F30A7">
      <w:pPr>
        <w:pStyle w:val="ListParagraph"/>
        <w:numPr>
          <w:ilvl w:val="0"/>
          <w:numId w:val="12"/>
        </w:numPr>
        <w:ind w:left="360"/>
        <w:rPr>
          <w:color w:val="000000" w:themeColor="text1"/>
        </w:rPr>
      </w:pPr>
      <w:r>
        <w:rPr>
          <w:color w:val="000000" w:themeColor="text1"/>
        </w:rPr>
        <w:t>Reduce the total cost of education and opportunity costs of lost earnings</w:t>
      </w:r>
    </w:p>
    <w:p w14:paraId="35012E89" w14:textId="77777777" w:rsidR="005B60C8" w:rsidRDefault="005B60C8" w:rsidP="004F30A7">
      <w:pPr>
        <w:pStyle w:val="ListParagraph"/>
        <w:numPr>
          <w:ilvl w:val="0"/>
          <w:numId w:val="12"/>
        </w:numPr>
        <w:ind w:left="360"/>
        <w:rPr>
          <w:color w:val="000000" w:themeColor="text1"/>
        </w:rPr>
      </w:pPr>
      <w:r>
        <w:rPr>
          <w:color w:val="000000" w:themeColor="text1"/>
        </w:rPr>
        <w:t>Reduce students taking classes at other universities</w:t>
      </w:r>
    </w:p>
    <w:p w14:paraId="0962FD8A" w14:textId="77777777" w:rsidR="005B60C8" w:rsidRDefault="005B60C8" w:rsidP="004F30A7">
      <w:pPr>
        <w:pStyle w:val="ListParagraph"/>
        <w:numPr>
          <w:ilvl w:val="0"/>
          <w:numId w:val="12"/>
        </w:numPr>
        <w:ind w:left="360"/>
        <w:rPr>
          <w:color w:val="000000" w:themeColor="text1"/>
        </w:rPr>
      </w:pPr>
      <w:r>
        <w:rPr>
          <w:color w:val="000000" w:themeColor="text1"/>
        </w:rPr>
        <w:t>Reduce student debt at graduation.</w:t>
      </w:r>
    </w:p>
    <w:p w14:paraId="35A53A5A" w14:textId="77777777" w:rsidR="005B60C8" w:rsidRDefault="005B60C8" w:rsidP="005B60C8">
      <w:pPr>
        <w:rPr>
          <w:color w:val="000000" w:themeColor="text1"/>
        </w:rPr>
      </w:pPr>
    </w:p>
    <w:bookmarkEnd w:id="4"/>
    <w:p w14:paraId="079594A7" w14:textId="77777777" w:rsidR="005B60C8" w:rsidRPr="00684542" w:rsidRDefault="005B60C8" w:rsidP="005B60C8">
      <w:pPr>
        <w:rPr>
          <w:color w:val="000000" w:themeColor="text1"/>
          <w:u w:val="single"/>
        </w:rPr>
      </w:pPr>
      <w:r w:rsidRPr="00972777">
        <w:rPr>
          <w:color w:val="000000" w:themeColor="text1"/>
          <w:u w:val="single"/>
        </w:rPr>
        <w:t>Next Steps</w:t>
      </w:r>
    </w:p>
    <w:p w14:paraId="10746CFD" w14:textId="77777777" w:rsidR="005B60C8" w:rsidRDefault="005B60C8" w:rsidP="005B60C8">
      <w:pPr>
        <w:rPr>
          <w:color w:val="000000" w:themeColor="text1"/>
          <w:u w:val="single"/>
        </w:rPr>
      </w:pPr>
    </w:p>
    <w:p w14:paraId="5D85E0BA" w14:textId="19AEC49B" w:rsidR="005B60C8" w:rsidRDefault="005B60C8" w:rsidP="0003110F">
      <w:pPr>
        <w:jc w:val="both"/>
        <w:rPr>
          <w:color w:val="000000" w:themeColor="text1"/>
        </w:rPr>
      </w:pPr>
      <w:r>
        <w:rPr>
          <w:color w:val="000000" w:themeColor="text1"/>
        </w:rPr>
        <w:t xml:space="preserve">Throughout the </w:t>
      </w:r>
      <w:r w:rsidR="00B43113">
        <w:rPr>
          <w:color w:val="000000" w:themeColor="text1"/>
        </w:rPr>
        <w:t>next year</w:t>
      </w:r>
      <w:r>
        <w:rPr>
          <w:color w:val="000000" w:themeColor="text1"/>
        </w:rPr>
        <w:t xml:space="preserve">, each university will work with their constituents to vet the specifics of the proposed models.  These sessions will provide feedback from students and other impacted parties on the items to consider in the change process, and the details that need to be determined as a part of a transition plan.  </w:t>
      </w:r>
    </w:p>
    <w:p w14:paraId="740B2FF6" w14:textId="77777777" w:rsidR="005B60C8" w:rsidRDefault="005B60C8" w:rsidP="0003110F">
      <w:pPr>
        <w:jc w:val="both"/>
        <w:rPr>
          <w:color w:val="000000" w:themeColor="text1"/>
        </w:rPr>
      </w:pPr>
    </w:p>
    <w:p w14:paraId="1785E581" w14:textId="6919FB24" w:rsidR="005B60C8" w:rsidRDefault="005B60C8" w:rsidP="00CA4A6C">
      <w:pPr>
        <w:jc w:val="both"/>
        <w:rPr>
          <w:color w:val="000000" w:themeColor="text1"/>
        </w:rPr>
      </w:pPr>
      <w:r>
        <w:rPr>
          <w:color w:val="000000" w:themeColor="text1"/>
        </w:rPr>
        <w:t xml:space="preserve">Each </w:t>
      </w:r>
      <w:r w:rsidR="00762F83">
        <w:rPr>
          <w:color w:val="000000" w:themeColor="text1"/>
        </w:rPr>
        <w:t>u</w:t>
      </w:r>
      <w:r>
        <w:rPr>
          <w:color w:val="000000" w:themeColor="text1"/>
        </w:rPr>
        <w:t>niversity will also complete modeling to determine the impact on both price setting and the related outcome metrics including retention and graduation.  The modeling will help determine how to price consolidated fees and the tuition plateau in a manner to support program quality for students.</w:t>
      </w:r>
    </w:p>
    <w:p w14:paraId="0C585238" w14:textId="77777777" w:rsidR="005B60C8" w:rsidRDefault="005B60C8" w:rsidP="00CA4A6C">
      <w:pPr>
        <w:jc w:val="both"/>
        <w:rPr>
          <w:color w:val="000000" w:themeColor="text1"/>
        </w:rPr>
      </w:pPr>
    </w:p>
    <w:p w14:paraId="3F5592B2" w14:textId="56E332D5" w:rsidR="005B60C8" w:rsidRPr="00D73434" w:rsidRDefault="005B60C8" w:rsidP="00CA4A6C">
      <w:pPr>
        <w:jc w:val="both"/>
        <w:rPr>
          <w:color w:val="000000" w:themeColor="text1"/>
        </w:rPr>
      </w:pPr>
      <w:r>
        <w:rPr>
          <w:color w:val="000000" w:themeColor="text1"/>
        </w:rPr>
        <w:t xml:space="preserve">Through the feedback and modeling, each </w:t>
      </w:r>
      <w:r w:rsidR="00762F83">
        <w:rPr>
          <w:color w:val="000000" w:themeColor="text1"/>
        </w:rPr>
        <w:t xml:space="preserve">university </w:t>
      </w:r>
      <w:r>
        <w:rPr>
          <w:color w:val="000000" w:themeColor="text1"/>
        </w:rPr>
        <w:t xml:space="preserve">will develop a specific implementation plan for their new tuition strategy.  The detailed plan will delineate the specific pricing variables and ranges of the plateaus, based upon actual student data and feedback.  The </w:t>
      </w:r>
      <w:r w:rsidR="00762F83">
        <w:rPr>
          <w:color w:val="000000" w:themeColor="text1"/>
        </w:rPr>
        <w:t xml:space="preserve">universities </w:t>
      </w:r>
      <w:r>
        <w:rPr>
          <w:color w:val="000000" w:themeColor="text1"/>
        </w:rPr>
        <w:t xml:space="preserve">will also work on their specific transition and implementation plans, with a planned presentation to the board for approval with the approval of tuition and fees in the </w:t>
      </w:r>
      <w:r w:rsidR="00762F83">
        <w:rPr>
          <w:color w:val="000000" w:themeColor="text1"/>
        </w:rPr>
        <w:t>s</w:t>
      </w:r>
      <w:r>
        <w:rPr>
          <w:color w:val="000000" w:themeColor="text1"/>
        </w:rPr>
        <w:t xml:space="preserve">pring of 2021.  The first possible semester of implementation for any model changes would be </w:t>
      </w:r>
      <w:r w:rsidR="00762F83">
        <w:rPr>
          <w:color w:val="000000" w:themeColor="text1"/>
        </w:rPr>
        <w:t>f</w:t>
      </w:r>
      <w:r>
        <w:rPr>
          <w:color w:val="000000" w:themeColor="text1"/>
        </w:rPr>
        <w:t xml:space="preserve">all of 2021, but some universities may desire to wait longer to allow for further communications with students recruited into the new model.  </w:t>
      </w:r>
    </w:p>
    <w:p w14:paraId="18966AE4" w14:textId="662A6AD8" w:rsidR="009F47D8" w:rsidRDefault="009F47D8">
      <w:pPr>
        <w:spacing w:after="160" w:line="259" w:lineRule="auto"/>
        <w:rPr>
          <w:color w:val="000000" w:themeColor="text1"/>
          <w:u w:val="single"/>
        </w:rPr>
      </w:pPr>
      <w:r>
        <w:rPr>
          <w:color w:val="000000" w:themeColor="text1"/>
          <w:u w:val="single"/>
        </w:rPr>
        <w:br w:type="page"/>
      </w:r>
    </w:p>
    <w:p w14:paraId="5D8F5E0E" w14:textId="6EA0A365" w:rsidR="00F863B2" w:rsidRPr="009F47D8" w:rsidRDefault="009F47D8" w:rsidP="005B60C8">
      <w:pPr>
        <w:jc w:val="center"/>
        <w:rPr>
          <w:color w:val="000000" w:themeColor="text1"/>
        </w:rPr>
      </w:pPr>
      <w:r>
        <w:rPr>
          <w:snapToGrid w:val="0"/>
          <w:szCs w:val="20"/>
        </w:rPr>
        <w:lastRenderedPageBreak/>
        <w:t>Fiscal Year 2021 Tuition and</w:t>
      </w:r>
      <w:r w:rsidR="001B68BF" w:rsidRPr="009F47D8">
        <w:rPr>
          <w:snapToGrid w:val="0"/>
          <w:szCs w:val="20"/>
        </w:rPr>
        <w:t xml:space="preserve"> </w:t>
      </w:r>
      <w:r>
        <w:rPr>
          <w:snapToGrid w:val="0"/>
          <w:szCs w:val="20"/>
        </w:rPr>
        <w:t>Required Fees</w:t>
      </w:r>
    </w:p>
    <w:p w14:paraId="601825E3" w14:textId="77777777" w:rsidR="00F863B2" w:rsidRDefault="00F863B2" w:rsidP="00F14001">
      <w:pPr>
        <w:rPr>
          <w:color w:val="000000" w:themeColor="text1"/>
          <w:u w:val="single"/>
        </w:rPr>
      </w:pPr>
    </w:p>
    <w:p w14:paraId="79ED7178" w14:textId="4FA86910" w:rsidR="004C694D" w:rsidRPr="001E209B" w:rsidRDefault="001E209B" w:rsidP="009F47D8">
      <w:pPr>
        <w:jc w:val="both"/>
        <w:rPr>
          <w:color w:val="000000" w:themeColor="text1"/>
        </w:rPr>
      </w:pPr>
      <w:r>
        <w:rPr>
          <w:color w:val="000000" w:themeColor="text1"/>
        </w:rPr>
        <w:t>For FY</w:t>
      </w:r>
      <w:r w:rsidR="007A2934">
        <w:rPr>
          <w:color w:val="000000" w:themeColor="text1"/>
        </w:rPr>
        <w:t xml:space="preserve"> </w:t>
      </w:r>
      <w:r>
        <w:rPr>
          <w:color w:val="000000" w:themeColor="text1"/>
        </w:rPr>
        <w:t>2021 the University proposes inflationary increases to the majority of tuition and mandatory fees.  These increases will be utilized to maintain</w:t>
      </w:r>
      <w:r w:rsidR="00D4784C">
        <w:rPr>
          <w:color w:val="000000" w:themeColor="text1"/>
        </w:rPr>
        <w:t xml:space="preserve"> and improve</w:t>
      </w:r>
      <w:r>
        <w:rPr>
          <w:color w:val="000000" w:themeColor="text1"/>
        </w:rPr>
        <w:t xml:space="preserve"> the quality of teaching and instruction </w:t>
      </w:r>
      <w:r w:rsidR="0016237E">
        <w:rPr>
          <w:color w:val="000000" w:themeColor="text1"/>
        </w:rPr>
        <w:t xml:space="preserve">at </w:t>
      </w:r>
      <w:r>
        <w:rPr>
          <w:color w:val="000000" w:themeColor="text1"/>
        </w:rPr>
        <w:t>the University.  As a part of the FY</w:t>
      </w:r>
      <w:r w:rsidR="000C1146">
        <w:rPr>
          <w:color w:val="000000" w:themeColor="text1"/>
        </w:rPr>
        <w:t xml:space="preserve"> 20</w:t>
      </w:r>
      <w:r>
        <w:rPr>
          <w:color w:val="000000" w:themeColor="text1"/>
        </w:rPr>
        <w:t>21 budgeting process</w:t>
      </w:r>
      <w:r w:rsidR="00D4784C">
        <w:rPr>
          <w:color w:val="000000" w:themeColor="text1"/>
        </w:rPr>
        <w:t xml:space="preserve"> and beyond</w:t>
      </w:r>
      <w:r>
        <w:rPr>
          <w:color w:val="000000" w:themeColor="text1"/>
        </w:rPr>
        <w:t xml:space="preserve">, the University will realize significant cost reductions, and these tuition increases are necessary to ensure </w:t>
      </w:r>
      <w:r w:rsidR="00D4784C">
        <w:rPr>
          <w:color w:val="000000" w:themeColor="text1"/>
        </w:rPr>
        <w:t xml:space="preserve">a high </w:t>
      </w:r>
      <w:r>
        <w:rPr>
          <w:color w:val="000000" w:themeColor="text1"/>
        </w:rPr>
        <w:t xml:space="preserve">quality of education is maintained for the future.  Without increases to tuition, the university will have to </w:t>
      </w:r>
      <w:r w:rsidR="0016237E">
        <w:rPr>
          <w:color w:val="000000" w:themeColor="text1"/>
        </w:rPr>
        <w:t xml:space="preserve">further reduce key instructional resources that drive tuition revenue and </w:t>
      </w:r>
      <w:r>
        <w:rPr>
          <w:color w:val="000000" w:themeColor="text1"/>
        </w:rPr>
        <w:t>evaluate cutting key research initiatives.</w:t>
      </w:r>
    </w:p>
    <w:p w14:paraId="283A03A9" w14:textId="54AB3BB1" w:rsidR="004A673A" w:rsidRDefault="004A673A" w:rsidP="009B6D4F">
      <w:pPr>
        <w:pStyle w:val="NoSpacing"/>
        <w:jc w:val="both"/>
        <w:rPr>
          <w:color w:val="000000" w:themeColor="text1"/>
          <w:u w:val="single"/>
        </w:rPr>
      </w:pPr>
    </w:p>
    <w:p w14:paraId="3B164473" w14:textId="77777777" w:rsidR="004A673A" w:rsidRPr="003D5D52" w:rsidRDefault="004A673A" w:rsidP="004A673A">
      <w:pPr>
        <w:rPr>
          <w:b/>
          <w:color w:val="000000" w:themeColor="text1"/>
        </w:rPr>
      </w:pPr>
      <w:r>
        <w:rPr>
          <w:b/>
          <w:color w:val="000000" w:themeColor="text1"/>
        </w:rPr>
        <w:t>Figure 1: Resident Undergraduate Tuition to Inflation</w:t>
      </w:r>
    </w:p>
    <w:p w14:paraId="604CB9A8" w14:textId="77777777" w:rsidR="004A673A" w:rsidRPr="003D5D52" w:rsidRDefault="004A673A" w:rsidP="004A673A">
      <w:pPr>
        <w:rPr>
          <w:color w:val="000000" w:themeColor="text1"/>
        </w:rPr>
      </w:pPr>
      <w:r>
        <w:rPr>
          <w:noProof/>
        </w:rPr>
        <w:drawing>
          <wp:inline distT="0" distB="0" distL="0" distR="0" wp14:anchorId="7A7B3F9D" wp14:editId="49834831">
            <wp:extent cx="5285105" cy="3644630"/>
            <wp:effectExtent l="0" t="0" r="10795" b="13335"/>
            <wp:docPr id="28" name="Chart 28">
              <a:extLst xmlns:a="http://schemas.openxmlformats.org/drawingml/2006/main">
                <a:ext uri="{FF2B5EF4-FFF2-40B4-BE49-F238E27FC236}">
                  <a16:creationId xmlns:a16="http://schemas.microsoft.com/office/drawing/2014/main" id="{766CE8A8-7180-4C40-B2C7-5287F63818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5C86F0" w14:textId="610F2B51" w:rsidR="00455E75" w:rsidRPr="00972777" w:rsidRDefault="00455E75" w:rsidP="00455E75">
      <w:pPr>
        <w:pStyle w:val="NoSpacing"/>
        <w:jc w:val="both"/>
        <w:rPr>
          <w:i/>
          <w:sz w:val="18"/>
          <w:szCs w:val="18"/>
        </w:rPr>
      </w:pPr>
      <w:r>
        <w:rPr>
          <w:i/>
        </w:rPr>
        <w:t>S</w:t>
      </w:r>
      <w:r w:rsidRPr="00972777">
        <w:rPr>
          <w:i/>
          <w:sz w:val="18"/>
          <w:szCs w:val="18"/>
        </w:rPr>
        <w:t>ource: University of Missouri Financial Statements</w:t>
      </w:r>
      <w:r>
        <w:rPr>
          <w:i/>
          <w:sz w:val="18"/>
          <w:szCs w:val="18"/>
        </w:rPr>
        <w:t>, tuition records</w:t>
      </w:r>
      <w:r w:rsidRPr="00972777">
        <w:rPr>
          <w:i/>
          <w:sz w:val="18"/>
          <w:szCs w:val="18"/>
        </w:rPr>
        <w:t>, CPI-U from BLS</w:t>
      </w:r>
    </w:p>
    <w:p w14:paraId="2017A4D6" w14:textId="77777777" w:rsidR="00455E75" w:rsidRDefault="00455E75" w:rsidP="009B6D4F">
      <w:pPr>
        <w:pStyle w:val="NoSpacing"/>
        <w:jc w:val="both"/>
        <w:rPr>
          <w:color w:val="000000" w:themeColor="text1"/>
          <w:u w:val="single"/>
        </w:rPr>
      </w:pPr>
    </w:p>
    <w:p w14:paraId="695BD225" w14:textId="28D75AE5" w:rsidR="00EA1145" w:rsidRDefault="00EA1145" w:rsidP="00D36B65">
      <w:pPr>
        <w:jc w:val="both"/>
        <w:rPr>
          <w:color w:val="000000" w:themeColor="text1"/>
        </w:rPr>
      </w:pPr>
      <w:r>
        <w:rPr>
          <w:color w:val="000000" w:themeColor="text1"/>
        </w:rPr>
        <w:t>Over the past decade, the University of Missouri has not made up for cuts in state funding by raising tuition rates for</w:t>
      </w:r>
      <w:r w:rsidR="0014228A">
        <w:rPr>
          <w:color w:val="000000" w:themeColor="text1"/>
        </w:rPr>
        <w:t xml:space="preserve"> Missouri undergraduate</w:t>
      </w:r>
      <w:r>
        <w:rPr>
          <w:color w:val="000000" w:themeColor="text1"/>
        </w:rPr>
        <w:t xml:space="preserve"> students.</w:t>
      </w:r>
      <w:r w:rsidR="0014228A">
        <w:rPr>
          <w:color w:val="000000" w:themeColor="text1"/>
        </w:rPr>
        <w:t xml:space="preserve">  This is in contrast to the national narrative and trend on tuition increases for public higher education, especially research universities.  At the same time tuition trended with inflation, state support dropped by 8% in nominal dollars and 23% in real dollars.</w:t>
      </w:r>
      <w:r w:rsidR="004A673A">
        <w:rPr>
          <w:color w:val="000000" w:themeColor="text1"/>
        </w:rPr>
        <w:t xml:space="preserve">  This compares to the national average of 17% growth in real dollars and flat appropriations in real dollars (SHEEO).  On average, the College Board’s </w:t>
      </w:r>
      <w:r w:rsidR="004A673A">
        <w:rPr>
          <w:i/>
          <w:color w:val="000000" w:themeColor="text1"/>
        </w:rPr>
        <w:t>Trends in College Pricing</w:t>
      </w:r>
      <w:r w:rsidR="004A673A">
        <w:rPr>
          <w:color w:val="000000" w:themeColor="text1"/>
        </w:rPr>
        <w:t xml:space="preserve"> found that published in-state tuition at public</w:t>
      </w:r>
      <w:r w:rsidR="00455E75">
        <w:rPr>
          <w:color w:val="000000" w:themeColor="text1"/>
        </w:rPr>
        <w:t xml:space="preserve"> doctoral institutions</w:t>
      </w:r>
      <w:r w:rsidR="004A673A">
        <w:rPr>
          <w:color w:val="000000" w:themeColor="text1"/>
        </w:rPr>
        <w:t xml:space="preserve"> increased by 2.2% above inflation over the past decade (2010-2020).  For the same time-period, the University of Missouri increased prices by 0.4% above inflation.</w:t>
      </w:r>
    </w:p>
    <w:p w14:paraId="35F537DA" w14:textId="77777777" w:rsidR="004A673A" w:rsidRDefault="004A673A" w:rsidP="005B60C8">
      <w:pPr>
        <w:rPr>
          <w:color w:val="000000" w:themeColor="text1"/>
        </w:rPr>
      </w:pPr>
    </w:p>
    <w:p w14:paraId="695F14DD" w14:textId="77777777" w:rsidR="00EA1145" w:rsidRDefault="00EA1145" w:rsidP="005B60C8">
      <w:pPr>
        <w:rPr>
          <w:color w:val="000000" w:themeColor="text1"/>
          <w:u w:val="single"/>
        </w:rPr>
      </w:pPr>
    </w:p>
    <w:p w14:paraId="3DC30741" w14:textId="7D5D7154" w:rsidR="009B6D4F" w:rsidRPr="00EC433F" w:rsidRDefault="009B6D4F" w:rsidP="009B6D4F">
      <w:pPr>
        <w:pStyle w:val="NoSpacing"/>
        <w:jc w:val="both"/>
        <w:rPr>
          <w:b/>
        </w:rPr>
      </w:pPr>
      <w:r w:rsidRPr="00EC433F">
        <w:rPr>
          <w:b/>
        </w:rPr>
        <w:lastRenderedPageBreak/>
        <w:t xml:space="preserve">Figure </w:t>
      </w:r>
      <w:r w:rsidR="004A673A" w:rsidRPr="00EC433F">
        <w:rPr>
          <w:b/>
        </w:rPr>
        <w:t>2</w:t>
      </w:r>
      <w:r w:rsidRPr="00EC433F">
        <w:rPr>
          <w:b/>
        </w:rPr>
        <w:t>: University of Missouri Changes in Resources to Inflation (%)</w:t>
      </w:r>
    </w:p>
    <w:p w14:paraId="606F270C" w14:textId="5BA2FA35" w:rsidR="00FF7ABC" w:rsidRDefault="006406A3" w:rsidP="00F35395">
      <w:pPr>
        <w:pStyle w:val="NoSpacing"/>
        <w:jc w:val="both"/>
      </w:pPr>
      <w:r>
        <w:rPr>
          <w:noProof/>
        </w:rPr>
        <w:drawing>
          <wp:inline distT="0" distB="0" distL="0" distR="0" wp14:anchorId="3512B38D" wp14:editId="17DCC11E">
            <wp:extent cx="5486400" cy="3990975"/>
            <wp:effectExtent l="0" t="0" r="0" b="9525"/>
            <wp:docPr id="1" name="Chart 1">
              <a:extLst xmlns:a="http://schemas.openxmlformats.org/drawingml/2006/main">
                <a:ext uri="{FF2B5EF4-FFF2-40B4-BE49-F238E27FC236}">
                  <a16:creationId xmlns:a16="http://schemas.microsoft.com/office/drawing/2014/main" id="{34CF3542-B6D6-447C-93C8-1487893947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56A3CC" w14:textId="143A1F38" w:rsidR="00972777" w:rsidRPr="00972777" w:rsidRDefault="00972777" w:rsidP="00F35395">
      <w:pPr>
        <w:pStyle w:val="NoSpacing"/>
        <w:jc w:val="both"/>
        <w:rPr>
          <w:i/>
          <w:sz w:val="18"/>
          <w:szCs w:val="18"/>
        </w:rPr>
      </w:pPr>
      <w:r>
        <w:rPr>
          <w:i/>
        </w:rPr>
        <w:t>S</w:t>
      </w:r>
      <w:r w:rsidRPr="00972777">
        <w:rPr>
          <w:i/>
          <w:sz w:val="18"/>
          <w:szCs w:val="18"/>
        </w:rPr>
        <w:t>ource: University of Missouri Financial Statements and IR FTE, CPI-U from BLS</w:t>
      </w:r>
    </w:p>
    <w:p w14:paraId="7EC8CA30" w14:textId="14CC757F" w:rsidR="005A4786" w:rsidRDefault="005A4786" w:rsidP="005B60C8">
      <w:pPr>
        <w:pStyle w:val="NoSpacing"/>
        <w:jc w:val="both"/>
      </w:pPr>
    </w:p>
    <w:p w14:paraId="1906AC1E" w14:textId="3BC8818A" w:rsidR="005B60C8" w:rsidRDefault="005B60C8" w:rsidP="005B60C8">
      <w:pPr>
        <w:pStyle w:val="NoSpacing"/>
        <w:jc w:val="both"/>
      </w:pPr>
      <w:r>
        <w:t xml:space="preserve">Figure </w:t>
      </w:r>
      <w:r w:rsidR="004A673A">
        <w:t>2</w:t>
      </w:r>
      <w:r w:rsidR="009B6D4F">
        <w:t xml:space="preserve"> </w:t>
      </w:r>
      <w:r>
        <w:t xml:space="preserve">demonstrates the change in </w:t>
      </w:r>
      <w:r w:rsidR="004A673A">
        <w:t xml:space="preserve">net </w:t>
      </w:r>
      <w:r>
        <w:t>tuition and fees</w:t>
      </w:r>
      <w:r w:rsidR="004A673A">
        <w:t xml:space="preserve"> per student</w:t>
      </w:r>
      <w:r>
        <w:t>, state support</w:t>
      </w:r>
      <w:r w:rsidR="004A673A">
        <w:t xml:space="preserve"> per student</w:t>
      </w:r>
      <w:r>
        <w:t>, and the combination of both tuition and fees and state support in relation to inflation.  It is important for public institutions to look at both state support and tuition when evaluating the resources available for a degree, as they represent the key revenues for the academic enterprise.  Together, they provide the revenue sources that fund students’ education.  As noted on the chart, tuition increase</w:t>
      </w:r>
      <w:r w:rsidR="00902CA6">
        <w:t>s</w:t>
      </w:r>
      <w:r>
        <w:t xml:space="preserve"> </w:t>
      </w:r>
      <w:r w:rsidR="006406A3">
        <w:t xml:space="preserve">moderately </w:t>
      </w:r>
      <w:r>
        <w:t>outpace inflation.</w:t>
      </w:r>
      <w:r w:rsidR="006406A3">
        <w:t xml:space="preserve">  </w:t>
      </w:r>
      <w:r w:rsidR="00E60767">
        <w:t>Net t</w:t>
      </w:r>
      <w:r w:rsidR="006406A3">
        <w:t xml:space="preserve">uition growth was </w:t>
      </w:r>
      <w:r w:rsidR="00E60767">
        <w:t xml:space="preserve">primarily </w:t>
      </w:r>
      <w:r w:rsidR="006406A3">
        <w:t xml:space="preserve">due to a change in </w:t>
      </w:r>
      <w:r w:rsidR="004A673A">
        <w:t xml:space="preserve">a mix in enrollment </w:t>
      </w:r>
      <w:r w:rsidR="00E60767">
        <w:t>with growth in the</w:t>
      </w:r>
      <w:r w:rsidR="004A673A">
        <w:t xml:space="preserve"> number of students from outside Missouri</w:t>
      </w:r>
      <w:r w:rsidR="006406A3">
        <w:t xml:space="preserve"> </w:t>
      </w:r>
      <w:r w:rsidR="00E60767">
        <w:t>outpacing the growth in students from Missouri</w:t>
      </w:r>
      <w:r w:rsidR="006406A3">
        <w:t xml:space="preserve">.  </w:t>
      </w:r>
      <w:r w:rsidR="00E60767">
        <w:t>The growth in net tuition per student was not enough to offset the falling s</w:t>
      </w:r>
      <w:r>
        <w:t>tate support</w:t>
      </w:r>
      <w:r w:rsidR="00E60767">
        <w:t xml:space="preserve"> per student</w:t>
      </w:r>
      <w:r>
        <w:t>.  When tuition and state support are combined</w:t>
      </w:r>
      <w:r w:rsidR="00E60767">
        <w:t xml:space="preserve"> into resources per student</w:t>
      </w:r>
      <w:r>
        <w:t xml:space="preserve">, </w:t>
      </w:r>
      <w:r w:rsidR="00E60767">
        <w:t>the sum grows</w:t>
      </w:r>
      <w:r>
        <w:t xml:space="preserve"> at a slower rate than inflation, demonstrating the actual cost reductions that were necessary for the University to balance budgets and deliver a quality degree.</w:t>
      </w:r>
    </w:p>
    <w:p w14:paraId="132B38F8" w14:textId="77777777" w:rsidR="009D4B72" w:rsidRDefault="009D4B72" w:rsidP="009D4B72">
      <w:pPr>
        <w:jc w:val="both"/>
      </w:pPr>
    </w:p>
    <w:p w14:paraId="7C35496C" w14:textId="31A27D61" w:rsidR="009D4B72" w:rsidRDefault="009D4B72" w:rsidP="009D4B72">
      <w:pPr>
        <w:jc w:val="both"/>
      </w:pPr>
      <w:r>
        <w:t xml:space="preserve">Following are the recommendations regarding tuition and required fees effective beginning with the 2020 fall </w:t>
      </w:r>
      <w:r w:rsidRPr="00DC7418">
        <w:t xml:space="preserve">term.  </w:t>
      </w:r>
      <w:r>
        <w:t xml:space="preserve">Specifically, the materials include recommendations concerning undergraduate tuition, graduate tuition, professional </w:t>
      </w:r>
      <w:r w:rsidR="00982455">
        <w:t>schools’</w:t>
      </w:r>
      <w:r>
        <w:t xml:space="preserve"> tuition, information technology fee, and student activity, facility and service fees.</w:t>
      </w:r>
      <w:r w:rsidR="009770D8">
        <w:t xml:space="preserve"> Detailed schedules are provided at the end of this document.</w:t>
      </w:r>
    </w:p>
    <w:p w14:paraId="41B0B0CE" w14:textId="778C86C1" w:rsidR="00732921" w:rsidRDefault="00732921" w:rsidP="009D4B72">
      <w:pPr>
        <w:jc w:val="both"/>
        <w:rPr>
          <w:b/>
          <w:bCs/>
        </w:rPr>
      </w:pPr>
    </w:p>
    <w:p w14:paraId="651AA148" w14:textId="77777777" w:rsidR="00E60767" w:rsidRDefault="00E60767" w:rsidP="009D4B72">
      <w:pPr>
        <w:jc w:val="both"/>
        <w:rPr>
          <w:b/>
          <w:bCs/>
        </w:rPr>
      </w:pPr>
    </w:p>
    <w:p w14:paraId="320ACE2F" w14:textId="77777777" w:rsidR="00732921" w:rsidRPr="00DF65EE" w:rsidRDefault="00732921" w:rsidP="00732921">
      <w:pPr>
        <w:jc w:val="both"/>
        <w:rPr>
          <w:u w:val="single"/>
        </w:rPr>
      </w:pPr>
      <w:r w:rsidRPr="00DF65EE">
        <w:rPr>
          <w:u w:val="single"/>
        </w:rPr>
        <w:lastRenderedPageBreak/>
        <w:t>Higher Education Student Funding Act (HESFA) Change for Tuition and Required Fees</w:t>
      </w:r>
    </w:p>
    <w:p w14:paraId="6394BCB6" w14:textId="77777777" w:rsidR="00732921" w:rsidRPr="00DC7D6A" w:rsidRDefault="00732921" w:rsidP="00732921">
      <w:pPr>
        <w:jc w:val="both"/>
        <w:rPr>
          <w:b/>
        </w:rPr>
      </w:pPr>
    </w:p>
    <w:p w14:paraId="5C187193" w14:textId="77777777" w:rsidR="00732921" w:rsidRDefault="00732921" w:rsidP="00732921">
      <w:pPr>
        <w:pStyle w:val="Title"/>
        <w:jc w:val="both"/>
        <w:rPr>
          <w:b w:val="0"/>
          <w:bCs w:val="0"/>
        </w:rPr>
      </w:pPr>
      <w:r>
        <w:rPr>
          <w:b w:val="0"/>
          <w:bCs w:val="0"/>
        </w:rPr>
        <w:t xml:space="preserve">Undergraduate tuition and required fees charged to all Missouri resident students are governed by the Higher Education Student Funding Act (HESFA, SB 807 &amp; 577 passed in 2018 revises Section 173.1003, </w:t>
      </w:r>
      <w:proofErr w:type="spellStart"/>
      <w:r>
        <w:rPr>
          <w:b w:val="0"/>
          <w:bCs w:val="0"/>
        </w:rPr>
        <w:t>RSMo</w:t>
      </w:r>
      <w:proofErr w:type="spellEnd"/>
      <w:r>
        <w:rPr>
          <w:b w:val="0"/>
          <w:bCs w:val="0"/>
        </w:rPr>
        <w:t xml:space="preserve">, commonly referred to as SB389.) Tuition and required fees include the tuition and fees charged to all students.  HESFA allows for increases above inflation only if state support declines in the most recent completed fiscal year.  As the University of Missouri received an $8 million increase in state support from FY 2018 to FY 2019 for specific programs, statute allows for an inflationary increase of 2.3%.  </w:t>
      </w:r>
    </w:p>
    <w:p w14:paraId="234EB171" w14:textId="77777777" w:rsidR="009D4B72" w:rsidRDefault="009D4B72" w:rsidP="009D4B72">
      <w:pPr>
        <w:pStyle w:val="Title"/>
        <w:jc w:val="both"/>
      </w:pPr>
    </w:p>
    <w:p w14:paraId="1CFA039C" w14:textId="77777777" w:rsidR="009D4B72" w:rsidRPr="00DF65EE" w:rsidRDefault="009D4B72" w:rsidP="009D4B72">
      <w:pPr>
        <w:jc w:val="both"/>
        <w:rPr>
          <w:u w:val="single"/>
        </w:rPr>
      </w:pPr>
      <w:r w:rsidRPr="00DF65EE">
        <w:rPr>
          <w:u w:val="single"/>
        </w:rPr>
        <w:t>Resident Undergraduate Tuition</w:t>
      </w:r>
    </w:p>
    <w:p w14:paraId="02AC3122" w14:textId="38E17979" w:rsidR="006F5D9F" w:rsidRDefault="006F5D9F" w:rsidP="00EC433F">
      <w:pPr>
        <w:jc w:val="both"/>
      </w:pPr>
      <w:r>
        <w:t>The University is recommending increasing board approved rates by the HESFA permissible inflation of 2.3%.</w:t>
      </w:r>
      <w:r w:rsidR="00E76A9E">
        <w:t xml:space="preserve"> </w:t>
      </w:r>
      <w:r w:rsidR="00E76A9E" w:rsidRPr="005F5842">
        <w:t xml:space="preserve">These rates will be charged to all resident students, but </w:t>
      </w:r>
      <w:r w:rsidR="0070536A">
        <w:t>the FY 2020 waiver of 1.6%</w:t>
      </w:r>
      <w:r w:rsidR="00675F9A">
        <w:t xml:space="preserve"> </w:t>
      </w:r>
      <w:r w:rsidR="0070536A">
        <w:t>will continue</w:t>
      </w:r>
      <w:r w:rsidR="00E76A9E" w:rsidRPr="005F5842">
        <w:t xml:space="preserve"> to reduce the effective cost for the student.</w:t>
      </w:r>
      <w:r w:rsidR="00E76A9E">
        <w:t xml:space="preserve"> </w:t>
      </w:r>
      <w:r w:rsidRPr="005F5842">
        <w:t>The following table represents the</w:t>
      </w:r>
      <w:r>
        <w:t xml:space="preserve"> FY </w:t>
      </w:r>
      <w:r w:rsidR="0070536A">
        <w:t>20</w:t>
      </w:r>
      <w:r>
        <w:t>20</w:t>
      </w:r>
      <w:r w:rsidRPr="005F5842">
        <w:t xml:space="preserve"> board approved</w:t>
      </w:r>
      <w:r>
        <w:t xml:space="preserve"> and recommended FY </w:t>
      </w:r>
      <w:r w:rsidR="00A96368">
        <w:t>20</w:t>
      </w:r>
      <w:r>
        <w:t xml:space="preserve">21 </w:t>
      </w:r>
      <w:r w:rsidRPr="005F5842">
        <w:t>rates for resident undergraduate tuition</w:t>
      </w:r>
      <w:r w:rsidR="007465E1">
        <w:t xml:space="preserve"> and </w:t>
      </w:r>
      <w:r w:rsidR="00721E8F">
        <w:t xml:space="preserve">the impact to students with </w:t>
      </w:r>
      <w:r w:rsidR="0070536A">
        <w:t>the 2.3% increase and the continuing</w:t>
      </w:r>
      <w:r w:rsidR="00721E8F">
        <w:t xml:space="preserve"> waiver. </w:t>
      </w:r>
    </w:p>
    <w:p w14:paraId="22E59109" w14:textId="4E04E45E" w:rsidR="006F5D9F" w:rsidRDefault="006F5D9F" w:rsidP="006F5D9F">
      <w:pPr>
        <w:pStyle w:val="Title"/>
        <w:jc w:val="both"/>
        <w:rPr>
          <w:b w:val="0"/>
        </w:rPr>
      </w:pPr>
    </w:p>
    <w:p w14:paraId="2CB9C3EA" w14:textId="78985E3B" w:rsidR="00675F9A" w:rsidRPr="005F5842" w:rsidRDefault="00EE31F2" w:rsidP="006F5D9F">
      <w:pPr>
        <w:pStyle w:val="Title"/>
        <w:jc w:val="both"/>
        <w:rPr>
          <w:b w:val="0"/>
        </w:rPr>
      </w:pPr>
      <w:r>
        <w:rPr>
          <w:b w:val="0"/>
        </w:rPr>
        <w:object w:dxaOrig="9917" w:dyaOrig="2733" w14:anchorId="5DFE9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18.5pt" o:ole="">
            <v:imagedata r:id="rId14" o:title=""/>
          </v:shape>
          <o:OLEObject Type="Embed" ProgID="Excel.Sheet.12" ShapeID="_x0000_i1025" DrawAspect="Content" ObjectID="_1653120863" r:id="rId15"/>
        </w:object>
      </w:r>
    </w:p>
    <w:p w14:paraId="13943196" w14:textId="77777777" w:rsidR="000A23C4" w:rsidRDefault="000A23C4" w:rsidP="005E000D">
      <w:pPr>
        <w:pStyle w:val="Title"/>
        <w:jc w:val="both"/>
        <w:rPr>
          <w:b w:val="0"/>
        </w:rPr>
      </w:pPr>
    </w:p>
    <w:p w14:paraId="773CBAF2" w14:textId="202956F8" w:rsidR="006F5D9F" w:rsidRDefault="006F5D9F" w:rsidP="004D5BF0">
      <w:pPr>
        <w:widowControl w:val="0"/>
        <w:tabs>
          <w:tab w:val="left" w:pos="-1440"/>
        </w:tabs>
        <w:jc w:val="both"/>
      </w:pPr>
      <w:r w:rsidRPr="00BD7B92">
        <w:t>Approved rates will be charged to students, but will be reduced by a limited Missouri resident undergraduate tuition waiver</w:t>
      </w:r>
      <w:r w:rsidR="000A23C4">
        <w:t xml:space="preserve">. </w:t>
      </w:r>
      <w:r w:rsidR="0001219E">
        <w:t>R</w:t>
      </w:r>
      <w:r w:rsidR="0001219E" w:rsidRPr="00215468">
        <w:t xml:space="preserve">esident undergraduate students </w:t>
      </w:r>
      <w:r w:rsidR="00675F9A">
        <w:t xml:space="preserve">only pay the inflationary increase </w:t>
      </w:r>
      <w:r w:rsidR="0001219E">
        <w:t>over FY</w:t>
      </w:r>
      <w:r w:rsidR="00675F9A">
        <w:t xml:space="preserve"> 20</w:t>
      </w:r>
      <w:r w:rsidR="0001219E">
        <w:t xml:space="preserve">20 assessed </w:t>
      </w:r>
      <w:r w:rsidR="0001219E" w:rsidRPr="00215468">
        <w:t xml:space="preserve">provided the President may withdraw such waiver and require payment </w:t>
      </w:r>
      <w:r w:rsidR="0001219E">
        <w:t xml:space="preserve">up to the maximum assessed rate </w:t>
      </w:r>
      <w:r w:rsidR="0001219E" w:rsidRPr="00215468">
        <w:t xml:space="preserve">in the event financial circumstances warrant. </w:t>
      </w:r>
    </w:p>
    <w:p w14:paraId="7A3F26E0" w14:textId="5C7B8CC0" w:rsidR="00E94677" w:rsidRDefault="00E94677" w:rsidP="00E94677">
      <w:pPr>
        <w:pStyle w:val="Title"/>
        <w:jc w:val="both"/>
        <w:rPr>
          <w:b w:val="0"/>
          <w:highlight w:val="yellow"/>
        </w:rPr>
      </w:pPr>
    </w:p>
    <w:p w14:paraId="40B7E9D0" w14:textId="20016899" w:rsidR="00EF2773" w:rsidRDefault="00EF2773" w:rsidP="00EF2773">
      <w:pPr>
        <w:pStyle w:val="Title"/>
        <w:jc w:val="both"/>
        <w:rPr>
          <w:b w:val="0"/>
          <w:bCs w:val="0"/>
        </w:rPr>
      </w:pPr>
      <w:r>
        <w:rPr>
          <w:b w:val="0"/>
          <w:bCs w:val="0"/>
        </w:rPr>
        <w:t xml:space="preserve">Undergraduate tuition and required fees charged to all Missouri resident students are governed by the Higher Education Student Funding Act (HESFA, Section 173.1003, </w:t>
      </w:r>
      <w:proofErr w:type="spellStart"/>
      <w:r>
        <w:rPr>
          <w:b w:val="0"/>
          <w:bCs w:val="0"/>
        </w:rPr>
        <w:t>RSMo</w:t>
      </w:r>
      <w:proofErr w:type="spellEnd"/>
      <w:r>
        <w:rPr>
          <w:b w:val="0"/>
          <w:bCs w:val="0"/>
        </w:rPr>
        <w:t>, commonly referred to as SB389.)</w:t>
      </w:r>
      <w:r w:rsidR="00E95D74">
        <w:rPr>
          <w:b w:val="0"/>
          <w:bCs w:val="0"/>
        </w:rPr>
        <w:t xml:space="preserve"> </w:t>
      </w:r>
      <w:r>
        <w:rPr>
          <w:b w:val="0"/>
          <w:bCs w:val="0"/>
        </w:rPr>
        <w:t xml:space="preserve"> Tuition and required fees typically </w:t>
      </w:r>
      <w:r w:rsidR="00982455">
        <w:rPr>
          <w:b w:val="0"/>
          <w:bCs w:val="0"/>
        </w:rPr>
        <w:t>include</w:t>
      </w:r>
      <w:r>
        <w:rPr>
          <w:b w:val="0"/>
          <w:bCs w:val="0"/>
        </w:rPr>
        <w:t xml:space="preserve"> base tuition, information technology fee, and student activity, facility and services fees.  In FY</w:t>
      </w:r>
      <w:r w:rsidR="000C1146">
        <w:rPr>
          <w:b w:val="0"/>
          <w:bCs w:val="0"/>
        </w:rPr>
        <w:t xml:space="preserve"> 20</w:t>
      </w:r>
      <w:r>
        <w:rPr>
          <w:b w:val="0"/>
          <w:bCs w:val="0"/>
        </w:rPr>
        <w:t xml:space="preserve">14 UMSL restructured their tuition rates to include base tuition and all required fees, and thus eliminated separate billing for other required fees.  The Higher Education Student Funding Act modifies the definition of tuition and required fees to exclude fees that were passed by student referendum or officially recognized student government organizations popularly elected by the students on campus.  </w:t>
      </w:r>
    </w:p>
    <w:p w14:paraId="6A91B75D" w14:textId="77777777" w:rsidR="00EF2773" w:rsidRDefault="00EF2773" w:rsidP="00EF2773">
      <w:pPr>
        <w:pStyle w:val="Title"/>
        <w:jc w:val="both"/>
        <w:rPr>
          <w:b w:val="0"/>
          <w:bCs w:val="0"/>
        </w:rPr>
      </w:pPr>
    </w:p>
    <w:p w14:paraId="73344CB7" w14:textId="483B6810" w:rsidR="00EF2773" w:rsidRDefault="00EF2773" w:rsidP="007465E1">
      <w:pPr>
        <w:tabs>
          <w:tab w:val="left" w:pos="3510"/>
        </w:tabs>
        <w:contextualSpacing/>
        <w:jc w:val="both"/>
      </w:pPr>
      <w:r>
        <w:t xml:space="preserve">The table below shows tuition and required fees for a Missouri resident undergraduate student as defined by the Higher Education Student Funding Act (SB389.) The </w:t>
      </w:r>
      <w:r w:rsidR="00852B77">
        <w:t xml:space="preserve">University </w:t>
      </w:r>
      <w:r w:rsidR="00852B77">
        <w:lastRenderedPageBreak/>
        <w:t xml:space="preserve">recommends </w:t>
      </w:r>
      <w:r>
        <w:t xml:space="preserve">FY </w:t>
      </w:r>
      <w:r w:rsidR="00A96368">
        <w:t>20</w:t>
      </w:r>
      <w:r>
        <w:t>21 t</w:t>
      </w:r>
      <w:r w:rsidRPr="005F07A5">
        <w:t>uition rates</w:t>
      </w:r>
      <w:r w:rsidR="00852B77">
        <w:t xml:space="preserve"> and required fees</w:t>
      </w:r>
      <w:r w:rsidRPr="005F07A5">
        <w:t xml:space="preserve"> for </w:t>
      </w:r>
      <w:r w:rsidR="00836585" w:rsidRPr="005F07A5">
        <w:t>a resident</w:t>
      </w:r>
      <w:r w:rsidRPr="005F07A5">
        <w:t xml:space="preserve"> undergraduate </w:t>
      </w:r>
      <w:r>
        <w:t>to increase up to CPI of 2.3</w:t>
      </w:r>
      <w:r w:rsidRPr="005F07A5">
        <w:t>%</w:t>
      </w:r>
      <w:r w:rsidR="00836585">
        <w:t>;</w:t>
      </w:r>
      <w:r w:rsidRPr="00620806">
        <w:t xml:space="preserve"> </w:t>
      </w:r>
      <w:r w:rsidR="00836585">
        <w:t>which is t</w:t>
      </w:r>
      <w:r>
        <w:t xml:space="preserve">he highest increase permissible </w:t>
      </w:r>
      <w:r w:rsidR="00836585">
        <w:t xml:space="preserve">without seeking a waiver. The University’s tuition and required fees average if approved as submitted is </w:t>
      </w:r>
      <w:r w:rsidR="00E95D74">
        <w:t xml:space="preserve">$237.75 and complies with the HESFA law. </w:t>
      </w:r>
    </w:p>
    <w:p w14:paraId="399D3AD7" w14:textId="48A2F95C" w:rsidR="00EF2773" w:rsidRDefault="00EF2773" w:rsidP="007465E1">
      <w:pPr>
        <w:pStyle w:val="Title"/>
      </w:pPr>
    </w:p>
    <w:p w14:paraId="0D2C11B4" w14:textId="1C1B884B" w:rsidR="00A65463" w:rsidRDefault="004A7ADA" w:rsidP="007465E1">
      <w:pPr>
        <w:pStyle w:val="Title"/>
      </w:pPr>
      <w:r w:rsidRPr="004A7ADA">
        <w:rPr>
          <w:noProof/>
        </w:rPr>
        <w:drawing>
          <wp:inline distT="0" distB="0" distL="0" distR="0" wp14:anchorId="3F029E33" wp14:editId="5AE847E8">
            <wp:extent cx="4290695" cy="20173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695" cy="2017395"/>
                    </a:xfrm>
                    <a:prstGeom prst="rect">
                      <a:avLst/>
                    </a:prstGeom>
                    <a:noFill/>
                    <a:ln>
                      <a:noFill/>
                    </a:ln>
                  </pic:spPr>
                </pic:pic>
              </a:graphicData>
            </a:graphic>
          </wp:inline>
        </w:drawing>
      </w:r>
    </w:p>
    <w:p w14:paraId="08829C7A" w14:textId="77777777" w:rsidR="00982135" w:rsidRDefault="00982135" w:rsidP="00E94677">
      <w:pPr>
        <w:pStyle w:val="Title"/>
        <w:jc w:val="both"/>
        <w:rPr>
          <w:b w:val="0"/>
          <w:highlight w:val="yellow"/>
        </w:rPr>
      </w:pPr>
    </w:p>
    <w:p w14:paraId="08FD8C29" w14:textId="7D32AE40" w:rsidR="009D4B72" w:rsidRDefault="009D4B72" w:rsidP="009D4B72">
      <w:pPr>
        <w:pStyle w:val="Title"/>
        <w:jc w:val="both"/>
        <w:rPr>
          <w:b w:val="0"/>
          <w:bCs w:val="0"/>
        </w:rPr>
      </w:pPr>
      <w:bookmarkStart w:id="5" w:name="_Hlk34223418"/>
      <w:r w:rsidRPr="00B851FB">
        <w:rPr>
          <w:b w:val="0"/>
          <w:bCs w:val="0"/>
        </w:rPr>
        <w:t xml:space="preserve">UMKC and UMSL have Metropolitan undergraduate tuition rates for students from Kansas and Illinois counties in their market area.  UMSL </w:t>
      </w:r>
      <w:r>
        <w:rPr>
          <w:b w:val="0"/>
          <w:bCs w:val="0"/>
        </w:rPr>
        <w:t>and UMKC also have undergraduate rates which includes the entire state of Illinois and Kansas.</w:t>
      </w:r>
      <w:r w:rsidRPr="00B851FB">
        <w:rPr>
          <w:b w:val="0"/>
          <w:bCs w:val="0"/>
        </w:rPr>
        <w:t xml:space="preserve"> The Metropolitan</w:t>
      </w:r>
      <w:r>
        <w:rPr>
          <w:b w:val="0"/>
          <w:bCs w:val="0"/>
        </w:rPr>
        <w:t>, Illinois and Kansas</w:t>
      </w:r>
      <w:r w:rsidRPr="00B851FB">
        <w:rPr>
          <w:b w:val="0"/>
          <w:bCs w:val="0"/>
        </w:rPr>
        <w:t xml:space="preserve"> tuition rates are </w:t>
      </w:r>
      <w:r w:rsidR="00325E33">
        <w:rPr>
          <w:b w:val="0"/>
          <w:bCs w:val="0"/>
        </w:rPr>
        <w:t xml:space="preserve">proposed to increase </w:t>
      </w:r>
      <w:r w:rsidRPr="00B851FB">
        <w:rPr>
          <w:b w:val="0"/>
          <w:bCs w:val="0"/>
        </w:rPr>
        <w:t xml:space="preserve">the same as Missouri resident rates. UMKC also </w:t>
      </w:r>
      <w:r>
        <w:rPr>
          <w:b w:val="0"/>
          <w:bCs w:val="0"/>
        </w:rPr>
        <w:t xml:space="preserve">has a </w:t>
      </w:r>
      <w:r w:rsidRPr="00B851FB">
        <w:rPr>
          <w:b w:val="0"/>
          <w:bCs w:val="0"/>
        </w:rPr>
        <w:t xml:space="preserve">Heartland undergraduate tuition rate </w:t>
      </w:r>
      <w:r>
        <w:rPr>
          <w:b w:val="0"/>
          <w:bCs w:val="0"/>
        </w:rPr>
        <w:t>which</w:t>
      </w:r>
      <w:r w:rsidRPr="00B851FB">
        <w:rPr>
          <w:b w:val="0"/>
          <w:bCs w:val="0"/>
        </w:rPr>
        <w:t xml:space="preserve"> equals 150 percent of the Missouri resident rate. Heartland states include Arkansas, Iowa, Kentucky, Oklahoma, South Dakota, Tennessee, and Texas.</w:t>
      </w:r>
    </w:p>
    <w:p w14:paraId="01F6B340" w14:textId="77777777" w:rsidR="009D4B72" w:rsidRPr="007A6617" w:rsidRDefault="009D4B72" w:rsidP="009D4B72">
      <w:pPr>
        <w:pStyle w:val="Title"/>
        <w:jc w:val="both"/>
        <w:rPr>
          <w:b w:val="0"/>
        </w:rPr>
      </w:pPr>
    </w:p>
    <w:p w14:paraId="7047541F" w14:textId="77777777" w:rsidR="009D4B72" w:rsidRPr="00DF65EE" w:rsidRDefault="009D4B72" w:rsidP="009D4B72">
      <w:pPr>
        <w:tabs>
          <w:tab w:val="left" w:pos="-1440"/>
        </w:tabs>
        <w:jc w:val="both"/>
        <w:rPr>
          <w:u w:val="single"/>
        </w:rPr>
      </w:pPr>
      <w:r w:rsidRPr="00DF65EE">
        <w:rPr>
          <w:u w:val="single"/>
        </w:rPr>
        <w:t>Non-Resident Undergraduate Tuition</w:t>
      </w:r>
    </w:p>
    <w:p w14:paraId="2D0B5369" w14:textId="5366AEC3" w:rsidR="00722A4E" w:rsidRDefault="009D4B72" w:rsidP="009D4B72">
      <w:pPr>
        <w:tabs>
          <w:tab w:val="left" w:pos="-1440"/>
        </w:tabs>
        <w:jc w:val="both"/>
        <w:rPr>
          <w:b/>
          <w:bCs/>
        </w:rPr>
      </w:pPr>
      <w:r>
        <w:t xml:space="preserve">The University recommends an increase of </w:t>
      </w:r>
      <w:r>
        <w:rPr>
          <w:bCs/>
        </w:rPr>
        <w:t xml:space="preserve">2.3% for </w:t>
      </w:r>
      <w:r>
        <w:t>n</w:t>
      </w:r>
      <w:r w:rsidRPr="00F32699">
        <w:t>onresident undergraduate tuition</w:t>
      </w:r>
      <w:r w:rsidRPr="00F32699">
        <w:rPr>
          <w:bCs/>
        </w:rPr>
        <w:t xml:space="preserve"> rates</w:t>
      </w:r>
      <w:r>
        <w:rPr>
          <w:bCs/>
        </w:rPr>
        <w:t>.</w:t>
      </w:r>
      <w:r w:rsidRPr="00C2758E">
        <w:rPr>
          <w:b/>
          <w:bCs/>
        </w:rPr>
        <w:t xml:space="preserve">  </w:t>
      </w:r>
    </w:p>
    <w:p w14:paraId="254B575E" w14:textId="77777777" w:rsidR="00190922" w:rsidRDefault="00190922" w:rsidP="009D4B72">
      <w:pPr>
        <w:tabs>
          <w:tab w:val="left" w:pos="-1440"/>
        </w:tabs>
        <w:jc w:val="both"/>
        <w:rPr>
          <w:bCs/>
        </w:rPr>
      </w:pPr>
    </w:p>
    <w:bookmarkEnd w:id="5"/>
    <w:p w14:paraId="07504C9B" w14:textId="23A3FDE6" w:rsidR="00E94677" w:rsidRDefault="00256C61" w:rsidP="00E94677">
      <w:pPr>
        <w:tabs>
          <w:tab w:val="left" w:pos="-1440"/>
        </w:tabs>
        <w:jc w:val="center"/>
        <w:rPr>
          <w:bCs/>
        </w:rPr>
      </w:pPr>
      <w:r w:rsidRPr="00256C61">
        <w:rPr>
          <w:noProof/>
        </w:rPr>
        <w:drawing>
          <wp:inline distT="0" distB="0" distL="0" distR="0" wp14:anchorId="34307FA3" wp14:editId="4D046579">
            <wp:extent cx="4954270" cy="183388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4270" cy="1833880"/>
                    </a:xfrm>
                    <a:prstGeom prst="rect">
                      <a:avLst/>
                    </a:prstGeom>
                    <a:noFill/>
                    <a:ln>
                      <a:noFill/>
                    </a:ln>
                  </pic:spPr>
                </pic:pic>
              </a:graphicData>
            </a:graphic>
          </wp:inline>
        </w:drawing>
      </w:r>
    </w:p>
    <w:p w14:paraId="65503466" w14:textId="77777777" w:rsidR="00256C61" w:rsidRDefault="00256C61" w:rsidP="00E94677">
      <w:pPr>
        <w:tabs>
          <w:tab w:val="left" w:pos="-1440"/>
        </w:tabs>
        <w:jc w:val="center"/>
        <w:rPr>
          <w:bCs/>
        </w:rPr>
      </w:pPr>
    </w:p>
    <w:p w14:paraId="585AD880" w14:textId="77777777" w:rsidR="009D4B72" w:rsidRDefault="009D4B72" w:rsidP="009D4B72">
      <w:pPr>
        <w:tabs>
          <w:tab w:val="left" w:pos="-1440"/>
        </w:tabs>
        <w:jc w:val="both"/>
      </w:pPr>
      <w:r w:rsidRPr="00D858E8">
        <w:t>S&amp;T is recommending a 2.3% increase</w:t>
      </w:r>
      <w:r>
        <w:rPr>
          <w:u w:val="single"/>
        </w:rPr>
        <w:t xml:space="preserve"> </w:t>
      </w:r>
      <w:r>
        <w:t>for international undergraduate students which is $1,031.90 per credit hour or $30,957 per academic year.</w:t>
      </w:r>
    </w:p>
    <w:p w14:paraId="303089C8" w14:textId="5735DE86" w:rsidR="009D4B72" w:rsidRDefault="009D4B72" w:rsidP="009D4B72">
      <w:pPr>
        <w:tabs>
          <w:tab w:val="left" w:pos="-1440"/>
        </w:tabs>
        <w:jc w:val="both"/>
        <w:rPr>
          <w:u w:val="single"/>
        </w:rPr>
      </w:pPr>
      <w:r>
        <w:rPr>
          <w:u w:val="single"/>
        </w:rPr>
        <w:t xml:space="preserve"> </w:t>
      </w:r>
    </w:p>
    <w:p w14:paraId="51228AFB" w14:textId="77777777" w:rsidR="009D4B72" w:rsidRPr="00DF65EE" w:rsidRDefault="009D4B72" w:rsidP="00D36B65">
      <w:pPr>
        <w:keepNext/>
        <w:tabs>
          <w:tab w:val="left" w:pos="-1440"/>
        </w:tabs>
        <w:jc w:val="both"/>
        <w:rPr>
          <w:bCs/>
          <w:highlight w:val="yellow"/>
          <w:u w:val="single"/>
        </w:rPr>
      </w:pPr>
      <w:r w:rsidRPr="00DF65EE">
        <w:rPr>
          <w:u w:val="single"/>
        </w:rPr>
        <w:lastRenderedPageBreak/>
        <w:t>Graduate Tuition</w:t>
      </w:r>
    </w:p>
    <w:p w14:paraId="353AAA68" w14:textId="77777777" w:rsidR="009D4B72" w:rsidRPr="00C2758E" w:rsidRDefault="009D4B72" w:rsidP="00D36B65">
      <w:pPr>
        <w:keepNext/>
        <w:tabs>
          <w:tab w:val="left" w:pos="-1440"/>
        </w:tabs>
        <w:jc w:val="both"/>
        <w:rPr>
          <w:b/>
          <w:bCs/>
        </w:rPr>
      </w:pPr>
      <w:r w:rsidRPr="00C2758E">
        <w:t>Resident</w:t>
      </w:r>
      <w:r>
        <w:t xml:space="preserve"> and non-resident</w:t>
      </w:r>
      <w:r w:rsidRPr="00C2758E">
        <w:t xml:space="preserve"> graduate tuition</w:t>
      </w:r>
      <w:r w:rsidRPr="00C2758E">
        <w:rPr>
          <w:bCs/>
        </w:rPr>
        <w:t xml:space="preserve"> rates are recommended to increase </w:t>
      </w:r>
      <w:r>
        <w:rPr>
          <w:bCs/>
        </w:rPr>
        <w:t xml:space="preserve">2.3% for MU, UMKC, and UMSL. S&amp;T is proposing to keep both resident and non-resident rates unchanged. </w:t>
      </w:r>
    </w:p>
    <w:p w14:paraId="032F50A4" w14:textId="15DB48FD" w:rsidR="00256C61" w:rsidRDefault="00256C61" w:rsidP="00256C61">
      <w:pPr>
        <w:pStyle w:val="Title"/>
        <w:rPr>
          <w:b w:val="0"/>
          <w:bCs w:val="0"/>
        </w:rPr>
      </w:pPr>
      <w:r w:rsidRPr="00256C61">
        <w:rPr>
          <w:noProof/>
        </w:rPr>
        <w:drawing>
          <wp:inline distT="0" distB="0" distL="0" distR="0" wp14:anchorId="68DA5648" wp14:editId="7718AB2C">
            <wp:extent cx="4954270" cy="190627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4270" cy="1906270"/>
                    </a:xfrm>
                    <a:prstGeom prst="rect">
                      <a:avLst/>
                    </a:prstGeom>
                    <a:noFill/>
                    <a:ln>
                      <a:noFill/>
                    </a:ln>
                  </pic:spPr>
                </pic:pic>
              </a:graphicData>
            </a:graphic>
          </wp:inline>
        </w:drawing>
      </w:r>
    </w:p>
    <w:p w14:paraId="188BDDBE" w14:textId="48C66E9B" w:rsidR="00190922" w:rsidRDefault="00190922" w:rsidP="00256C61">
      <w:pPr>
        <w:pStyle w:val="Title"/>
        <w:rPr>
          <w:b w:val="0"/>
          <w:bCs w:val="0"/>
        </w:rPr>
      </w:pPr>
    </w:p>
    <w:p w14:paraId="7F8E0D11" w14:textId="340F19B8" w:rsidR="00190922" w:rsidRDefault="00190922" w:rsidP="00256C61">
      <w:pPr>
        <w:pStyle w:val="Title"/>
        <w:rPr>
          <w:b w:val="0"/>
          <w:bCs w:val="0"/>
        </w:rPr>
      </w:pPr>
      <w:r w:rsidRPr="00190922">
        <w:rPr>
          <w:noProof/>
        </w:rPr>
        <w:drawing>
          <wp:inline distT="0" distB="0" distL="0" distR="0" wp14:anchorId="16CE8411" wp14:editId="7CBBF8CD">
            <wp:extent cx="4954270" cy="196913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54270" cy="1969135"/>
                    </a:xfrm>
                    <a:prstGeom prst="rect">
                      <a:avLst/>
                    </a:prstGeom>
                    <a:noFill/>
                    <a:ln>
                      <a:noFill/>
                    </a:ln>
                  </pic:spPr>
                </pic:pic>
              </a:graphicData>
            </a:graphic>
          </wp:inline>
        </w:drawing>
      </w:r>
    </w:p>
    <w:p w14:paraId="41CCA410" w14:textId="53C3375A" w:rsidR="00E94677" w:rsidRDefault="00E94677" w:rsidP="00E94677">
      <w:pPr>
        <w:pStyle w:val="Title"/>
        <w:jc w:val="both"/>
        <w:rPr>
          <w:b w:val="0"/>
          <w:bCs w:val="0"/>
        </w:rPr>
      </w:pPr>
      <w:r>
        <w:rPr>
          <w:b w:val="0"/>
          <w:bCs w:val="0"/>
        </w:rPr>
        <w:t>UMKC and UMSL have Metropolitan graduate tuition rates for students from Kansas and Illinois counties in their market area.  The Metropolitan tuition rates are the same as Missouri resident rates.</w:t>
      </w:r>
    </w:p>
    <w:p w14:paraId="62BECA6F" w14:textId="77777777" w:rsidR="005C1DB6" w:rsidRPr="00F04C7A" w:rsidRDefault="005C1DB6" w:rsidP="00E94677">
      <w:pPr>
        <w:pStyle w:val="Title"/>
        <w:jc w:val="both"/>
        <w:rPr>
          <w:b w:val="0"/>
          <w:bCs w:val="0"/>
        </w:rPr>
      </w:pPr>
    </w:p>
    <w:p w14:paraId="4C68EF3F" w14:textId="0DEF15B4" w:rsidR="00E94677" w:rsidRDefault="00E94677" w:rsidP="00E94677">
      <w:pPr>
        <w:pStyle w:val="Title"/>
        <w:jc w:val="both"/>
        <w:rPr>
          <w:b w:val="0"/>
          <w:bCs w:val="0"/>
        </w:rPr>
      </w:pPr>
      <w:r>
        <w:rPr>
          <w:b w:val="0"/>
          <w:bCs w:val="0"/>
        </w:rPr>
        <w:t>UMKC has a separate tuition rate for graduate nursing programs, which UMKC assesses</w:t>
      </w:r>
      <w:r w:rsidRPr="00BA5236">
        <w:rPr>
          <w:b w:val="0"/>
          <w:bCs w:val="0"/>
        </w:rPr>
        <w:t xml:space="preserve"> on all graduate nursing credits.  </w:t>
      </w:r>
      <w:r>
        <w:rPr>
          <w:b w:val="0"/>
          <w:bCs w:val="0"/>
        </w:rPr>
        <w:t xml:space="preserve">The nursing tuition rate for FY </w:t>
      </w:r>
      <w:r w:rsidR="00A96368">
        <w:rPr>
          <w:b w:val="0"/>
          <w:bCs w:val="0"/>
        </w:rPr>
        <w:t>20</w:t>
      </w:r>
      <w:r>
        <w:rPr>
          <w:b w:val="0"/>
          <w:bCs w:val="0"/>
        </w:rPr>
        <w:t>2</w:t>
      </w:r>
      <w:r w:rsidR="0014793B">
        <w:rPr>
          <w:b w:val="0"/>
          <w:bCs w:val="0"/>
        </w:rPr>
        <w:t>1</w:t>
      </w:r>
      <w:r>
        <w:rPr>
          <w:b w:val="0"/>
          <w:bCs w:val="0"/>
        </w:rPr>
        <w:t xml:space="preserve"> will be </w:t>
      </w:r>
      <w:r w:rsidRPr="00E609FC">
        <w:rPr>
          <w:b w:val="0"/>
          <w:bCs w:val="0"/>
        </w:rPr>
        <w:t>$6</w:t>
      </w:r>
      <w:r w:rsidR="00E609FC" w:rsidRPr="00EE5A79">
        <w:rPr>
          <w:b w:val="0"/>
          <w:bCs w:val="0"/>
        </w:rPr>
        <w:t>13</w:t>
      </w:r>
      <w:r w:rsidR="00C84875">
        <w:rPr>
          <w:b w:val="0"/>
          <w:bCs w:val="0"/>
        </w:rPr>
        <w:t>.80</w:t>
      </w:r>
      <w:r w:rsidRPr="00E609FC">
        <w:rPr>
          <w:b w:val="0"/>
          <w:bCs w:val="0"/>
        </w:rPr>
        <w:t xml:space="preserve"> for </w:t>
      </w:r>
      <w:r w:rsidRPr="004A7ADA">
        <w:rPr>
          <w:b w:val="0"/>
          <w:bCs w:val="0"/>
        </w:rPr>
        <w:t>residents and $1,1</w:t>
      </w:r>
      <w:r w:rsidR="00E609FC" w:rsidRPr="004A7ADA">
        <w:rPr>
          <w:b w:val="0"/>
          <w:bCs w:val="0"/>
        </w:rPr>
        <w:t>68</w:t>
      </w:r>
      <w:r w:rsidR="00C84875" w:rsidRPr="004A7ADA">
        <w:rPr>
          <w:b w:val="0"/>
          <w:bCs w:val="0"/>
        </w:rPr>
        <w:t>.</w:t>
      </w:r>
      <w:r w:rsidR="004A7ADA" w:rsidRPr="004A7ADA">
        <w:rPr>
          <w:b w:val="0"/>
          <w:bCs w:val="0"/>
        </w:rPr>
        <w:t>30</w:t>
      </w:r>
      <w:r w:rsidRPr="004A7ADA">
        <w:rPr>
          <w:b w:val="0"/>
          <w:bCs w:val="0"/>
        </w:rPr>
        <w:t xml:space="preserve"> for nonresidents. </w:t>
      </w:r>
    </w:p>
    <w:p w14:paraId="70AF2571" w14:textId="77777777" w:rsidR="00D858E8" w:rsidRDefault="00D858E8" w:rsidP="00E94677">
      <w:pPr>
        <w:pStyle w:val="Title"/>
        <w:jc w:val="both"/>
        <w:rPr>
          <w:b w:val="0"/>
          <w:bCs w:val="0"/>
        </w:rPr>
      </w:pPr>
    </w:p>
    <w:p w14:paraId="0A3C4CED" w14:textId="77777777" w:rsidR="00D858E8" w:rsidRDefault="00D858E8" w:rsidP="00E94677">
      <w:pPr>
        <w:pStyle w:val="Title"/>
        <w:jc w:val="both"/>
        <w:rPr>
          <w:b w:val="0"/>
          <w:bCs w:val="0"/>
        </w:rPr>
      </w:pPr>
      <w:r>
        <w:rPr>
          <w:b w:val="0"/>
          <w:bCs w:val="0"/>
        </w:rPr>
        <w:t xml:space="preserve">S&amp;T is recommending international graduate rate remaining flat at $1,306.60 per credit hour or $39,198 per academic year.   </w:t>
      </w:r>
    </w:p>
    <w:p w14:paraId="465FD0BA" w14:textId="77777777" w:rsidR="00E94677" w:rsidRDefault="00C97770" w:rsidP="00E94677">
      <w:pPr>
        <w:pStyle w:val="Title"/>
        <w:jc w:val="both"/>
        <w:rPr>
          <w:b w:val="0"/>
          <w:bCs w:val="0"/>
        </w:rPr>
      </w:pPr>
      <w:r>
        <w:rPr>
          <w:b w:val="0"/>
          <w:bCs w:val="0"/>
        </w:rPr>
        <w:t xml:space="preserve"> </w:t>
      </w:r>
    </w:p>
    <w:p w14:paraId="64D744FD" w14:textId="77777777" w:rsidR="00E94677" w:rsidRPr="00DF65EE" w:rsidRDefault="00E94677" w:rsidP="00DF65EE">
      <w:pPr>
        <w:pStyle w:val="Title"/>
        <w:keepNext/>
        <w:keepLines/>
        <w:jc w:val="both"/>
        <w:rPr>
          <w:b w:val="0"/>
          <w:u w:val="single"/>
        </w:rPr>
      </w:pPr>
      <w:r w:rsidRPr="00DF65EE">
        <w:rPr>
          <w:b w:val="0"/>
          <w:u w:val="single"/>
        </w:rPr>
        <w:lastRenderedPageBreak/>
        <w:t>Professional School Tuition</w:t>
      </w:r>
    </w:p>
    <w:p w14:paraId="317E7A73" w14:textId="03F18AC3" w:rsidR="00E94677" w:rsidRDefault="00E94677" w:rsidP="00DF65EE">
      <w:pPr>
        <w:keepNext/>
        <w:keepLines/>
        <w:jc w:val="both"/>
      </w:pPr>
      <w:r>
        <w:t xml:space="preserve">The University recommends to increase Professional tuition rates at varying levels based on cost and market analysis of the particular schools and their relationship to the University strategic plans.  These recommendations are summarized below. </w:t>
      </w:r>
    </w:p>
    <w:p w14:paraId="64651941" w14:textId="1586B838" w:rsidR="00C105EA" w:rsidRDefault="00C105EA" w:rsidP="00DF65EE">
      <w:pPr>
        <w:keepNext/>
        <w:keepLines/>
        <w:jc w:val="both"/>
      </w:pPr>
    </w:p>
    <w:p w14:paraId="6C55FB82" w14:textId="0C9BE506" w:rsidR="00C105EA" w:rsidRDefault="00C105EA" w:rsidP="00C105EA">
      <w:pPr>
        <w:keepNext/>
        <w:keepLines/>
        <w:jc w:val="center"/>
      </w:pPr>
      <w:r w:rsidRPr="00C105EA">
        <w:rPr>
          <w:noProof/>
        </w:rPr>
        <w:drawing>
          <wp:inline distT="0" distB="0" distL="0" distR="0" wp14:anchorId="1782193C" wp14:editId="5275CF3B">
            <wp:extent cx="3955415" cy="3074670"/>
            <wp:effectExtent l="0" t="0" r="698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5415" cy="3074670"/>
                    </a:xfrm>
                    <a:prstGeom prst="rect">
                      <a:avLst/>
                    </a:prstGeom>
                    <a:noFill/>
                    <a:ln>
                      <a:noFill/>
                    </a:ln>
                  </pic:spPr>
                </pic:pic>
              </a:graphicData>
            </a:graphic>
          </wp:inline>
        </w:drawing>
      </w:r>
    </w:p>
    <w:p w14:paraId="623907BA" w14:textId="77777777" w:rsidR="00BF66F2" w:rsidRDefault="00BF66F2" w:rsidP="00DF65EE">
      <w:pPr>
        <w:keepNext/>
        <w:keepLines/>
        <w:jc w:val="both"/>
      </w:pPr>
    </w:p>
    <w:p w14:paraId="2DB528D7" w14:textId="479BFC78" w:rsidR="00356695" w:rsidRDefault="00C105EA" w:rsidP="00E94677">
      <w:pPr>
        <w:jc w:val="both"/>
      </w:pPr>
      <w:r>
        <w:t>S</w:t>
      </w:r>
      <w:r w:rsidR="009770D8">
        <w:t>everal professional schools had mult</w:t>
      </w:r>
      <w:r w:rsidR="00982455">
        <w:t>i</w:t>
      </w:r>
      <w:r w:rsidR="009770D8">
        <w:t xml:space="preserve">-year increases approved by the Board in prior year that would impact FY </w:t>
      </w:r>
      <w:r w:rsidR="00A96368">
        <w:t>20</w:t>
      </w:r>
      <w:r w:rsidR="009770D8">
        <w:t xml:space="preserve">21. Many of these will be deferred for upcoming academic years. </w:t>
      </w:r>
      <w:r w:rsidR="00356695">
        <w:t xml:space="preserve">The following </w:t>
      </w:r>
      <w:r w:rsidR="009770D8">
        <w:t>explains increase requests above CPI:</w:t>
      </w:r>
      <w:r w:rsidR="00356695">
        <w:t xml:space="preserve">  </w:t>
      </w:r>
    </w:p>
    <w:p w14:paraId="6ECA9F9E" w14:textId="77777777" w:rsidR="00356695" w:rsidRDefault="00356695" w:rsidP="00E94677">
      <w:pPr>
        <w:jc w:val="both"/>
      </w:pPr>
    </w:p>
    <w:p w14:paraId="126E64E6" w14:textId="61085E11" w:rsidR="00E94677" w:rsidRDefault="00E94677" w:rsidP="009F47D8">
      <w:pPr>
        <w:pStyle w:val="ListParagraph"/>
        <w:numPr>
          <w:ilvl w:val="0"/>
          <w:numId w:val="14"/>
        </w:numPr>
        <w:ind w:left="360"/>
        <w:jc w:val="both"/>
      </w:pPr>
      <w:r w:rsidRPr="00673734">
        <w:t>UMKC Law JD program</w:t>
      </w:r>
      <w:r>
        <w:t xml:space="preserve"> </w:t>
      </w:r>
      <w:r w:rsidR="00D965F6">
        <w:t xml:space="preserve">received approval from the Board to increase tuition by 2.5% </w:t>
      </w:r>
      <w:r w:rsidR="002900A1">
        <w:t xml:space="preserve">for FY </w:t>
      </w:r>
      <w:r w:rsidR="00A96368">
        <w:t>20</w:t>
      </w:r>
      <w:r w:rsidR="002900A1">
        <w:t xml:space="preserve">20 and FY </w:t>
      </w:r>
      <w:r w:rsidR="00A96368">
        <w:t>20</w:t>
      </w:r>
      <w:r w:rsidR="002900A1">
        <w:t>21</w:t>
      </w:r>
      <w:r>
        <w:t>. T</w:t>
      </w:r>
      <w:r w:rsidRPr="00F028CA">
        <w:t xml:space="preserve">he proposed rate increase is necessary in order to contribute to the overall fiscal health of the university while not adversely affecting </w:t>
      </w:r>
      <w:r>
        <w:t>the</w:t>
      </w:r>
      <w:r w:rsidRPr="00F028CA">
        <w:t xml:space="preserve"> ability to recruit quality students.</w:t>
      </w:r>
    </w:p>
    <w:p w14:paraId="30218E8B" w14:textId="77777777" w:rsidR="00E94677" w:rsidRDefault="00E94677" w:rsidP="009F47D8">
      <w:pPr>
        <w:ind w:left="360"/>
        <w:jc w:val="both"/>
      </w:pPr>
    </w:p>
    <w:p w14:paraId="12662CD0" w14:textId="127E506B" w:rsidR="00E94677" w:rsidRDefault="00E94677" w:rsidP="009F47D8">
      <w:pPr>
        <w:pStyle w:val="ListParagraph"/>
        <w:numPr>
          <w:ilvl w:val="0"/>
          <w:numId w:val="14"/>
        </w:numPr>
        <w:ind w:left="360"/>
        <w:jc w:val="both"/>
      </w:pPr>
      <w:r w:rsidRPr="00673734">
        <w:t xml:space="preserve">UMKC Law LLM program </w:t>
      </w:r>
      <w:r w:rsidR="002900A1" w:rsidRPr="00673734">
        <w:t>received</w:t>
      </w:r>
      <w:r w:rsidR="002900A1">
        <w:t xml:space="preserve"> approval from the Board to increase tuition by </w:t>
      </w:r>
      <w:r>
        <w:t xml:space="preserve">2.5% for residents and 5% for non-residents for FY </w:t>
      </w:r>
      <w:r w:rsidR="00A96368">
        <w:t>20</w:t>
      </w:r>
      <w:r>
        <w:t>20 and FY</w:t>
      </w:r>
      <w:r w:rsidR="00694BD6">
        <w:t xml:space="preserve"> </w:t>
      </w:r>
      <w:r w:rsidR="00A96368">
        <w:t>20</w:t>
      </w:r>
      <w:r>
        <w:t xml:space="preserve">21. The higher non-resident increase will generate additional revenue from government-sponsored students, </w:t>
      </w:r>
      <w:r w:rsidRPr="00087824">
        <w:t>which can offset the additional expenses and provide resources for expanding the program.</w:t>
      </w:r>
    </w:p>
    <w:p w14:paraId="2713A211" w14:textId="1BC017C6" w:rsidR="00A5016B" w:rsidRDefault="00A5016B" w:rsidP="009F47D8">
      <w:pPr>
        <w:ind w:left="360"/>
        <w:jc w:val="both"/>
      </w:pPr>
    </w:p>
    <w:p w14:paraId="75CD1636" w14:textId="49D5E166" w:rsidR="00A70367" w:rsidRDefault="00A70367" w:rsidP="009F47D8">
      <w:pPr>
        <w:pStyle w:val="ListParagraph"/>
        <w:numPr>
          <w:ilvl w:val="0"/>
          <w:numId w:val="14"/>
        </w:numPr>
        <w:ind w:left="360"/>
        <w:jc w:val="both"/>
        <w:rPr>
          <w:szCs w:val="24"/>
        </w:rPr>
      </w:pPr>
      <w:r w:rsidRPr="00673734">
        <w:t>UMKC School of Pharmacy</w:t>
      </w:r>
      <w:r>
        <w:t xml:space="preserve"> is requesting a tuition increase of 6 percent.  Market analysis indicates that tuition increases in this range would maintain the school’s regional competitiveness with other Pharmacy schools.  The increased revenue will cover increasing costs to delivery curricula, including hiring of faculty.  </w:t>
      </w:r>
    </w:p>
    <w:p w14:paraId="51416AC8" w14:textId="2D34E60A" w:rsidR="00A70367" w:rsidRPr="00A70367" w:rsidRDefault="00A70367" w:rsidP="009F47D8">
      <w:pPr>
        <w:ind w:left="360"/>
        <w:jc w:val="both"/>
        <w:rPr>
          <w:u w:val="single"/>
        </w:rPr>
      </w:pPr>
    </w:p>
    <w:p w14:paraId="2E1B4388" w14:textId="7A6247D4" w:rsidR="00A70367" w:rsidRDefault="00A70367" w:rsidP="009F47D8">
      <w:pPr>
        <w:pStyle w:val="ListParagraph"/>
        <w:numPr>
          <w:ilvl w:val="0"/>
          <w:numId w:val="14"/>
        </w:numPr>
        <w:ind w:left="360"/>
        <w:jc w:val="both"/>
      </w:pPr>
      <w:r w:rsidRPr="00673734">
        <w:t>UMKC Dental School</w:t>
      </w:r>
      <w:r>
        <w:t xml:space="preserve"> is requesting a 5% increase to tuition</w:t>
      </w:r>
      <w:r w:rsidR="008F1785">
        <w:t xml:space="preserve"> due to increased costs of operation and changes that will be needed to keep the students, faculty and clinic </w:t>
      </w:r>
      <w:r w:rsidR="008F1785">
        <w:lastRenderedPageBreak/>
        <w:t xml:space="preserve">patients safe. New CDC guidelines and the need for additional PPE will increase costs significantly. </w:t>
      </w:r>
    </w:p>
    <w:p w14:paraId="3F9B758A" w14:textId="77777777" w:rsidR="008E6D9D" w:rsidRDefault="008E6D9D" w:rsidP="00A729B8">
      <w:pPr>
        <w:pStyle w:val="ListParagraph"/>
      </w:pPr>
    </w:p>
    <w:p w14:paraId="276A99D0" w14:textId="0E40ADDF" w:rsidR="008E6D9D" w:rsidRDefault="008E6D9D" w:rsidP="009F47D8">
      <w:pPr>
        <w:pStyle w:val="ListParagraph"/>
        <w:numPr>
          <w:ilvl w:val="0"/>
          <w:numId w:val="14"/>
        </w:numPr>
        <w:ind w:left="360"/>
        <w:jc w:val="both"/>
      </w:pPr>
      <w:bookmarkStart w:id="6" w:name="_Hlk41385811"/>
      <w:r>
        <w:t>The MU School of Health Professions is requesting a new on-line tuition of $700 per credit hour that includes the base tuition and a</w:t>
      </w:r>
      <w:r w:rsidR="00BE3F23">
        <w:t>n</w:t>
      </w:r>
      <w:r>
        <w:t xml:space="preserve"> online fee to be assessed to </w:t>
      </w:r>
      <w:r w:rsidR="00A729B8">
        <w:t xml:space="preserve">Post-Professional </w:t>
      </w:r>
      <w:r>
        <w:t>Occupational Therapy Doctoral students</w:t>
      </w:r>
      <w:r w:rsidR="00BE3F23">
        <w:t xml:space="preserve">. </w:t>
      </w:r>
      <w:r w:rsidR="00BE3F23" w:rsidRPr="00A729B8">
        <w:t>The professional designation for Occupational Therapy is in part because of the higher cost associated with administration of a health care related curriculum.  The department has to employ licensed health care professionals to run the training program and a lower faculty-student ratio is required to teach clinical related content.  The $700 per credit hour fee requested is highly competitive based upon similar degree programs offered</w:t>
      </w:r>
      <w:r w:rsidR="00BE3F23">
        <w:t xml:space="preserve"> at peer institutions for this degree.</w:t>
      </w:r>
    </w:p>
    <w:bookmarkEnd w:id="6"/>
    <w:p w14:paraId="66FA7B77" w14:textId="77777777" w:rsidR="00A70367" w:rsidRDefault="00A70367" w:rsidP="004D5BF0">
      <w:pPr>
        <w:pStyle w:val="ListParagraph"/>
        <w:jc w:val="both"/>
      </w:pPr>
    </w:p>
    <w:p w14:paraId="305FD0BB" w14:textId="77777777" w:rsidR="00E94677" w:rsidRDefault="00E94677" w:rsidP="00E94677">
      <w:pPr>
        <w:jc w:val="both"/>
        <w:rPr>
          <w:u w:val="single"/>
        </w:rPr>
      </w:pPr>
      <w:r w:rsidRPr="00DF65EE">
        <w:rPr>
          <w:u w:val="single"/>
        </w:rPr>
        <w:t>Information Technology Fee</w:t>
      </w:r>
    </w:p>
    <w:p w14:paraId="6FCB68EA" w14:textId="7913C7C8" w:rsidR="00F14001" w:rsidRDefault="00E94677" w:rsidP="00EB4C17">
      <w:pPr>
        <w:jc w:val="both"/>
      </w:pPr>
      <w:r w:rsidRPr="00593098">
        <w:t xml:space="preserve">The </w:t>
      </w:r>
      <w:r>
        <w:t>i</w:t>
      </w:r>
      <w:r w:rsidRPr="00593098">
        <w:t xml:space="preserve">nformation </w:t>
      </w:r>
      <w:r>
        <w:t>t</w:t>
      </w:r>
      <w:r w:rsidRPr="00593098">
        <w:t xml:space="preserve">echnology fee is recommended to increase by </w:t>
      </w:r>
      <w:r>
        <w:t xml:space="preserve">CPI of </w:t>
      </w:r>
      <w:r w:rsidR="00A9193B">
        <w:t>2.3</w:t>
      </w:r>
      <w:r>
        <w:t>% to $14.</w:t>
      </w:r>
      <w:r w:rsidR="007B4262">
        <w:t xml:space="preserve">35 </w:t>
      </w:r>
      <w:r>
        <w:t>at</w:t>
      </w:r>
      <w:r w:rsidRPr="00593098">
        <w:t xml:space="preserve"> MU</w:t>
      </w:r>
      <w:r>
        <w:t>, $</w:t>
      </w:r>
      <w:r w:rsidR="007C05CA">
        <w:t>15.</w:t>
      </w:r>
      <w:r w:rsidR="0027025E">
        <w:t xml:space="preserve">00 </w:t>
      </w:r>
      <w:r>
        <w:t>at</w:t>
      </w:r>
      <w:r w:rsidRPr="00593098">
        <w:t xml:space="preserve"> UMKC</w:t>
      </w:r>
      <w:r>
        <w:t xml:space="preserve"> and $15</w:t>
      </w:r>
      <w:r w:rsidRPr="00593098">
        <w:t>.</w:t>
      </w:r>
      <w:r w:rsidR="0027025E">
        <w:t>65</w:t>
      </w:r>
      <w:r>
        <w:t xml:space="preserve"> at Missouri S&amp;T.</w:t>
      </w:r>
      <w:r w:rsidR="000A0ECA">
        <w:t xml:space="preserve">  The Information Technology fee is a required fee and subject to the HESFA calculations.</w:t>
      </w:r>
    </w:p>
    <w:p w14:paraId="6984B9E3" w14:textId="77777777" w:rsidR="00F14001" w:rsidRDefault="00F14001" w:rsidP="00EB4C17">
      <w:pPr>
        <w:jc w:val="both"/>
      </w:pPr>
    </w:p>
    <w:p w14:paraId="23DC346D" w14:textId="77777777" w:rsidR="00E94677" w:rsidRPr="00DF65EE" w:rsidRDefault="00E94677" w:rsidP="00E94677">
      <w:pPr>
        <w:jc w:val="both"/>
        <w:rPr>
          <w:u w:val="single"/>
        </w:rPr>
      </w:pPr>
      <w:r w:rsidRPr="00DF65EE">
        <w:rPr>
          <w:u w:val="single"/>
        </w:rPr>
        <w:t>Student Activity, Facility, and Service Fees</w:t>
      </w:r>
    </w:p>
    <w:p w14:paraId="4AA51ECA" w14:textId="77777777" w:rsidR="00E94677" w:rsidRPr="005122DB" w:rsidRDefault="00E94677" w:rsidP="00E94677">
      <w:pPr>
        <w:pStyle w:val="Title"/>
        <w:jc w:val="both"/>
        <w:rPr>
          <w:b w:val="0"/>
        </w:rPr>
      </w:pPr>
      <w:r w:rsidRPr="005122DB">
        <w:rPr>
          <w:b w:val="0"/>
        </w:rPr>
        <w:t>The</w:t>
      </w:r>
      <w:r w:rsidR="00876E7E">
        <w:rPr>
          <w:b w:val="0"/>
        </w:rPr>
        <w:t>se</w:t>
      </w:r>
      <w:r w:rsidRPr="005122DB">
        <w:rPr>
          <w:b w:val="0"/>
        </w:rPr>
        <w:t xml:space="preserve"> fee proposals were prepared under the direction of the Vice Chancellors or Vice Provosts for Student Affairs on each campus. </w:t>
      </w:r>
      <w:r>
        <w:rPr>
          <w:b w:val="0"/>
        </w:rPr>
        <w:t xml:space="preserve"> </w:t>
      </w:r>
      <w:r w:rsidRPr="005122DB">
        <w:rPr>
          <w:b w:val="0"/>
        </w:rPr>
        <w:t xml:space="preserve">Planning for fee changes are conducted using operating assumptions unique to each campus and activity, within the context of general economic guidelines communicated by the </w:t>
      </w:r>
      <w:r>
        <w:rPr>
          <w:b w:val="0"/>
        </w:rPr>
        <w:t>Finance Division</w:t>
      </w:r>
      <w:r w:rsidRPr="005122DB">
        <w:rPr>
          <w:b w:val="0"/>
        </w:rPr>
        <w:t xml:space="preserve">. </w:t>
      </w:r>
      <w:r>
        <w:rPr>
          <w:b w:val="0"/>
        </w:rPr>
        <w:t>A</w:t>
      </w:r>
      <w:r w:rsidRPr="005122DB">
        <w:rPr>
          <w:b w:val="0"/>
        </w:rPr>
        <w:t xml:space="preserve">ppropriate advisory groups, affected students, and/or their elected officers reviewed and </w:t>
      </w:r>
      <w:r>
        <w:rPr>
          <w:b w:val="0"/>
        </w:rPr>
        <w:t>supported</w:t>
      </w:r>
      <w:r w:rsidRPr="005122DB">
        <w:rPr>
          <w:b w:val="0"/>
        </w:rPr>
        <w:t xml:space="preserve"> the activity, facility, and service fee proposals. </w:t>
      </w:r>
    </w:p>
    <w:p w14:paraId="3B9B05BF" w14:textId="77777777" w:rsidR="00E94677" w:rsidRDefault="00E94677" w:rsidP="00E94677">
      <w:pPr>
        <w:pStyle w:val="Title"/>
        <w:jc w:val="both"/>
        <w:rPr>
          <w:b w:val="0"/>
        </w:rPr>
      </w:pPr>
    </w:p>
    <w:p w14:paraId="45384C79" w14:textId="681759D3" w:rsidR="00E94677" w:rsidRDefault="00E94677" w:rsidP="00E94677">
      <w:pPr>
        <w:pStyle w:val="Title"/>
        <w:jc w:val="both"/>
        <w:rPr>
          <w:b w:val="0"/>
        </w:rPr>
      </w:pPr>
      <w:r w:rsidRPr="0085024E">
        <w:rPr>
          <w:b w:val="0"/>
        </w:rPr>
        <w:t xml:space="preserve">Increases in undergraduate activity, facility, and service fees </w:t>
      </w:r>
      <w:r>
        <w:rPr>
          <w:b w:val="0"/>
        </w:rPr>
        <w:t xml:space="preserve">per semester </w:t>
      </w:r>
      <w:r w:rsidRPr="0085024E">
        <w:rPr>
          <w:b w:val="0"/>
        </w:rPr>
        <w:t>are</w:t>
      </w:r>
      <w:r>
        <w:rPr>
          <w:b w:val="0"/>
        </w:rPr>
        <w:t xml:space="preserve"> </w:t>
      </w:r>
      <w:r w:rsidR="007C05CA">
        <w:rPr>
          <w:b w:val="0"/>
        </w:rPr>
        <w:t>2.3</w:t>
      </w:r>
      <w:r>
        <w:rPr>
          <w:b w:val="0"/>
        </w:rPr>
        <w:t xml:space="preserve">% </w:t>
      </w:r>
      <w:r w:rsidR="00394F2C">
        <w:rPr>
          <w:b w:val="0"/>
        </w:rPr>
        <w:t xml:space="preserve">at </w:t>
      </w:r>
      <w:r w:rsidR="007B4262">
        <w:rPr>
          <w:b w:val="0"/>
        </w:rPr>
        <w:t>UMKC</w:t>
      </w:r>
      <w:r w:rsidR="00394F2C">
        <w:rPr>
          <w:b w:val="0"/>
        </w:rPr>
        <w:t xml:space="preserve"> </w:t>
      </w:r>
      <w:r w:rsidR="00836585">
        <w:rPr>
          <w:b w:val="0"/>
        </w:rPr>
        <w:t xml:space="preserve">and </w:t>
      </w:r>
      <w:r w:rsidR="00394F2C">
        <w:rPr>
          <w:b w:val="0"/>
        </w:rPr>
        <w:t xml:space="preserve">Missouri S&amp;T.  </w:t>
      </w:r>
      <w:r w:rsidR="001A0C2B">
        <w:rPr>
          <w:b w:val="0"/>
        </w:rPr>
        <w:t xml:space="preserve">The fees will increase at 2.8% at MU. </w:t>
      </w:r>
      <w:r w:rsidRPr="005122DB">
        <w:rPr>
          <w:b w:val="0"/>
        </w:rPr>
        <w:t xml:space="preserve">These rate changes </w:t>
      </w:r>
      <w:proofErr w:type="gramStart"/>
      <w:r w:rsidRPr="005122DB">
        <w:rPr>
          <w:b w:val="0"/>
        </w:rPr>
        <w:t>are in compliance with</w:t>
      </w:r>
      <w:proofErr w:type="gramEnd"/>
      <w:r w:rsidRPr="005122DB">
        <w:rPr>
          <w:b w:val="0"/>
        </w:rPr>
        <w:t xml:space="preserve"> </w:t>
      </w:r>
      <w:r>
        <w:rPr>
          <w:b w:val="0"/>
        </w:rPr>
        <w:t>the HESFA (</w:t>
      </w:r>
      <w:r w:rsidRPr="00045F2C">
        <w:rPr>
          <w:b w:val="0"/>
        </w:rPr>
        <w:t>SB 807 &amp; 577)</w:t>
      </w:r>
      <w:r>
        <w:rPr>
          <w:b w:val="0"/>
        </w:rPr>
        <w:t xml:space="preserve">.  </w:t>
      </w:r>
      <w:r w:rsidRPr="001C6470">
        <w:rPr>
          <w:b w:val="0"/>
        </w:rPr>
        <w:t xml:space="preserve">Graduate </w:t>
      </w:r>
      <w:r>
        <w:rPr>
          <w:b w:val="0"/>
        </w:rPr>
        <w:t xml:space="preserve">and professional student </w:t>
      </w:r>
      <w:r w:rsidRPr="001C6470">
        <w:rPr>
          <w:b w:val="0"/>
        </w:rPr>
        <w:t xml:space="preserve">fees increase by </w:t>
      </w:r>
      <w:r w:rsidR="007C05CA">
        <w:rPr>
          <w:b w:val="0"/>
        </w:rPr>
        <w:t>2.8</w:t>
      </w:r>
      <w:r>
        <w:rPr>
          <w:b w:val="0"/>
        </w:rPr>
        <w:t xml:space="preserve">% at MU, </w:t>
      </w:r>
      <w:r w:rsidR="00673734">
        <w:rPr>
          <w:b w:val="0"/>
        </w:rPr>
        <w:t xml:space="preserve">and </w:t>
      </w:r>
      <w:r w:rsidR="007C05CA">
        <w:rPr>
          <w:b w:val="0"/>
        </w:rPr>
        <w:t>2.3</w:t>
      </w:r>
      <w:r w:rsidRPr="001C6470">
        <w:rPr>
          <w:b w:val="0"/>
        </w:rPr>
        <w:t>% at UMKC and</w:t>
      </w:r>
      <w:r>
        <w:rPr>
          <w:b w:val="0"/>
        </w:rPr>
        <w:t xml:space="preserve"> Missouri </w:t>
      </w:r>
      <w:r w:rsidRPr="001C6470">
        <w:rPr>
          <w:b w:val="0"/>
        </w:rPr>
        <w:t>S&amp;T</w:t>
      </w:r>
      <w:r>
        <w:rPr>
          <w:b w:val="0"/>
        </w:rPr>
        <w:t>.</w:t>
      </w:r>
    </w:p>
    <w:p w14:paraId="1BDAA0DD" w14:textId="77777777" w:rsidR="00E94677" w:rsidRPr="001C6470" w:rsidRDefault="00E94677" w:rsidP="00E94677">
      <w:pPr>
        <w:pStyle w:val="Title"/>
        <w:jc w:val="both"/>
        <w:rPr>
          <w:b w:val="0"/>
        </w:rPr>
      </w:pPr>
    </w:p>
    <w:p w14:paraId="2D5A0F22" w14:textId="57273C14" w:rsidR="00E94677" w:rsidRDefault="00E94677" w:rsidP="00E94677">
      <w:pPr>
        <w:pStyle w:val="Title"/>
        <w:jc w:val="both"/>
        <w:rPr>
          <w:b w:val="0"/>
        </w:rPr>
      </w:pPr>
      <w:r w:rsidRPr="00B82C90">
        <w:rPr>
          <w:b w:val="0"/>
        </w:rPr>
        <w:t>Fees are assessed predominantly on a per credit hour basis with a plateau of 12 credit hours per semester</w:t>
      </w:r>
      <w:r>
        <w:rPr>
          <w:b w:val="0"/>
        </w:rPr>
        <w:t xml:space="preserve"> and </w:t>
      </w:r>
      <w:r w:rsidR="004542E5">
        <w:rPr>
          <w:b w:val="0"/>
        </w:rPr>
        <w:t xml:space="preserve">6 </w:t>
      </w:r>
      <w:r>
        <w:rPr>
          <w:b w:val="0"/>
        </w:rPr>
        <w:t xml:space="preserve">credit hours for the summer session. However, the graduate and professional student plateau is </w:t>
      </w:r>
      <w:r w:rsidR="004542E5">
        <w:rPr>
          <w:b w:val="0"/>
        </w:rPr>
        <w:t xml:space="preserve">9 </w:t>
      </w:r>
      <w:r>
        <w:rPr>
          <w:b w:val="0"/>
        </w:rPr>
        <w:t>credit hours per semester.  Some fees are assessed at</w:t>
      </w:r>
      <w:r w:rsidRPr="00B82C90">
        <w:rPr>
          <w:b w:val="0"/>
        </w:rPr>
        <w:t xml:space="preserve"> a flat rate per semester</w:t>
      </w:r>
      <w:r>
        <w:rPr>
          <w:b w:val="0"/>
        </w:rPr>
        <w:t>, or have a lower plateau.</w:t>
      </w:r>
    </w:p>
    <w:p w14:paraId="730364D0" w14:textId="77777777" w:rsidR="00E94677" w:rsidRDefault="00E94677" w:rsidP="00E94677">
      <w:pPr>
        <w:pStyle w:val="Title"/>
        <w:jc w:val="both"/>
        <w:rPr>
          <w:b w:val="0"/>
          <w:bCs w:val="0"/>
        </w:rPr>
      </w:pPr>
    </w:p>
    <w:p w14:paraId="643F7B1E" w14:textId="282050B7" w:rsidR="00E94677" w:rsidRDefault="00E94677" w:rsidP="00E94677">
      <w:pPr>
        <w:pStyle w:val="Title"/>
        <w:jc w:val="both"/>
        <w:rPr>
          <w:b w:val="0"/>
          <w:bCs w:val="0"/>
        </w:rPr>
      </w:pPr>
      <w:bookmarkStart w:id="7" w:name="OLE_LINK1"/>
      <w:bookmarkStart w:id="8" w:name="OLE_LINK2"/>
      <w:r>
        <w:rPr>
          <w:b w:val="0"/>
        </w:rPr>
        <w:t xml:space="preserve">At </w:t>
      </w:r>
      <w:r w:rsidRPr="00EB4C17">
        <w:t>MU</w:t>
      </w:r>
      <w:r w:rsidR="00EB4C17" w:rsidRPr="00EB4C17">
        <w:rPr>
          <w:b w:val="0"/>
        </w:rPr>
        <w:t>,</w:t>
      </w:r>
      <w:r>
        <w:t xml:space="preserve"> </w:t>
      </w:r>
      <w:r>
        <w:rPr>
          <w:b w:val="0"/>
        </w:rPr>
        <w:t>total</w:t>
      </w:r>
      <w:r>
        <w:t xml:space="preserve"> </w:t>
      </w:r>
      <w:r>
        <w:rPr>
          <w:b w:val="0"/>
        </w:rPr>
        <w:t xml:space="preserve">student activity, facility, and service fees per semester are proposed to increase by </w:t>
      </w:r>
      <w:r w:rsidR="00AE4F9D">
        <w:rPr>
          <w:b w:val="0"/>
        </w:rPr>
        <w:t>2.</w:t>
      </w:r>
      <w:r w:rsidR="001F0E65">
        <w:rPr>
          <w:b w:val="0"/>
        </w:rPr>
        <w:t>8</w:t>
      </w:r>
      <w:r>
        <w:rPr>
          <w:b w:val="0"/>
        </w:rPr>
        <w:t>% or $</w:t>
      </w:r>
      <w:r w:rsidR="001F0E65">
        <w:rPr>
          <w:b w:val="0"/>
        </w:rPr>
        <w:t>13.2</w:t>
      </w:r>
      <w:r w:rsidR="000C1146">
        <w:rPr>
          <w:b w:val="0"/>
        </w:rPr>
        <w:t>7</w:t>
      </w:r>
      <w:r>
        <w:rPr>
          <w:b w:val="0"/>
        </w:rPr>
        <w:t xml:space="preserve"> for undergraduate students and </w:t>
      </w:r>
      <w:r w:rsidR="00AE4F9D">
        <w:rPr>
          <w:b w:val="0"/>
        </w:rPr>
        <w:t xml:space="preserve">2.8% or </w:t>
      </w:r>
      <w:r>
        <w:rPr>
          <w:b w:val="0"/>
        </w:rPr>
        <w:t>$</w:t>
      </w:r>
      <w:r w:rsidR="00AE4F9D">
        <w:rPr>
          <w:b w:val="0"/>
        </w:rPr>
        <w:t>12.45</w:t>
      </w:r>
      <w:r>
        <w:rPr>
          <w:b w:val="0"/>
        </w:rPr>
        <w:t xml:space="preserve"> for graduate and professional students.</w:t>
      </w:r>
      <w:r w:rsidRPr="008575B9">
        <w:rPr>
          <w:b w:val="0"/>
          <w:bCs w:val="0"/>
        </w:rPr>
        <w:t xml:space="preserve"> </w:t>
      </w:r>
      <w:r w:rsidR="006939ED" w:rsidRPr="006939ED">
        <w:rPr>
          <w:b w:val="0"/>
          <w:sz w:val="23"/>
          <w:szCs w:val="23"/>
        </w:rPr>
        <w:t xml:space="preserve">The </w:t>
      </w:r>
      <w:r w:rsidR="00836585">
        <w:rPr>
          <w:b w:val="0"/>
          <w:sz w:val="23"/>
          <w:szCs w:val="23"/>
        </w:rPr>
        <w:t xml:space="preserve">student activity fee </w:t>
      </w:r>
      <w:r w:rsidR="006939ED" w:rsidRPr="006939ED">
        <w:rPr>
          <w:b w:val="0"/>
          <w:sz w:val="23"/>
          <w:szCs w:val="23"/>
        </w:rPr>
        <w:t>increase above CPI</w:t>
      </w:r>
      <w:r w:rsidR="00836585">
        <w:rPr>
          <w:b w:val="0"/>
          <w:sz w:val="23"/>
          <w:szCs w:val="23"/>
        </w:rPr>
        <w:t xml:space="preserve"> reflects a</w:t>
      </w:r>
      <w:r w:rsidR="006939ED" w:rsidRPr="006939ED">
        <w:rPr>
          <w:b w:val="0"/>
          <w:sz w:val="23"/>
          <w:szCs w:val="23"/>
        </w:rPr>
        <w:t xml:space="preserve"> student fee referendum </w:t>
      </w:r>
      <w:r w:rsidR="00836585">
        <w:rPr>
          <w:b w:val="0"/>
          <w:sz w:val="23"/>
          <w:szCs w:val="23"/>
        </w:rPr>
        <w:t xml:space="preserve">passed </w:t>
      </w:r>
      <w:r w:rsidR="006939ED" w:rsidRPr="006939ED">
        <w:rPr>
          <w:b w:val="0"/>
          <w:sz w:val="23"/>
          <w:szCs w:val="23"/>
        </w:rPr>
        <w:t>in March to support Student Media</w:t>
      </w:r>
      <w:r w:rsidR="00D9014B">
        <w:rPr>
          <w:b w:val="0"/>
          <w:sz w:val="23"/>
          <w:szCs w:val="23"/>
        </w:rPr>
        <w:t xml:space="preserve">.  </w:t>
      </w:r>
      <w:r w:rsidR="006939ED" w:rsidRPr="006939ED">
        <w:rPr>
          <w:b w:val="0"/>
          <w:sz w:val="23"/>
          <w:szCs w:val="23"/>
        </w:rPr>
        <w:t xml:space="preserve">75.5% of students </w:t>
      </w:r>
      <w:r w:rsidR="00D9014B" w:rsidRPr="006939ED">
        <w:rPr>
          <w:b w:val="0"/>
          <w:sz w:val="23"/>
          <w:szCs w:val="23"/>
        </w:rPr>
        <w:t>vot</w:t>
      </w:r>
      <w:r w:rsidR="00D9014B">
        <w:rPr>
          <w:b w:val="0"/>
          <w:sz w:val="23"/>
          <w:szCs w:val="23"/>
        </w:rPr>
        <w:t>ed</w:t>
      </w:r>
      <w:r w:rsidR="00D9014B" w:rsidRPr="006939ED">
        <w:rPr>
          <w:b w:val="0"/>
          <w:sz w:val="23"/>
          <w:szCs w:val="23"/>
        </w:rPr>
        <w:t xml:space="preserve"> </w:t>
      </w:r>
      <w:r w:rsidR="006939ED" w:rsidRPr="006939ED">
        <w:rPr>
          <w:b w:val="0"/>
          <w:sz w:val="23"/>
          <w:szCs w:val="23"/>
        </w:rPr>
        <w:t xml:space="preserve">in favor of the fee increase.  </w:t>
      </w:r>
      <w:r w:rsidRPr="006939ED">
        <w:rPr>
          <w:b w:val="0"/>
          <w:bCs w:val="0"/>
        </w:rPr>
        <w:t>MU Student Activity Fees include fees to fund: Student Government, Student Organizations, Multicultural Student Organizations, Readership Program, Sustainability Program</w:t>
      </w:r>
      <w:r w:rsidRPr="008575B9">
        <w:rPr>
          <w:b w:val="0"/>
          <w:bCs w:val="0"/>
        </w:rPr>
        <w:t>, Sports Clubs, Associated Students, Capital Improvement, Divisional Councils, Transportation System, Student Unions, Student Life, Counseling Center, Jesse Auditorium</w:t>
      </w:r>
      <w:r>
        <w:rPr>
          <w:b w:val="0"/>
          <w:bCs w:val="0"/>
        </w:rPr>
        <w:t xml:space="preserve">, MU Libraries, and Technology. </w:t>
      </w:r>
    </w:p>
    <w:p w14:paraId="72631BF7" w14:textId="77777777" w:rsidR="00E94677" w:rsidRPr="00B96059" w:rsidRDefault="00E94677" w:rsidP="00E94677">
      <w:pPr>
        <w:pStyle w:val="Title"/>
        <w:jc w:val="both"/>
        <w:rPr>
          <w:b w:val="0"/>
          <w:bCs w:val="0"/>
        </w:rPr>
      </w:pPr>
    </w:p>
    <w:p w14:paraId="5F34CC6A" w14:textId="5870EC0F" w:rsidR="00E94677" w:rsidRDefault="00E94677" w:rsidP="00E94677">
      <w:pPr>
        <w:pStyle w:val="Title"/>
        <w:jc w:val="both"/>
        <w:rPr>
          <w:b w:val="0"/>
          <w:bCs w:val="0"/>
        </w:rPr>
      </w:pPr>
      <w:r>
        <w:rPr>
          <w:b w:val="0"/>
          <w:bCs w:val="0"/>
        </w:rPr>
        <w:lastRenderedPageBreak/>
        <w:t xml:space="preserve">The </w:t>
      </w:r>
      <w:r w:rsidRPr="00EB4C17">
        <w:rPr>
          <w:b w:val="0"/>
          <w:bCs w:val="0"/>
        </w:rPr>
        <w:t xml:space="preserve">MU </w:t>
      </w:r>
      <w:r>
        <w:rPr>
          <w:b w:val="0"/>
          <w:bCs w:val="0"/>
        </w:rPr>
        <w:t xml:space="preserve">Student Fee Review Committee, which is comprised of a representative mix of undergraduate and graduate students, annually reviews activity, facility, and health service fees in detail.  They make a recommendation to the Vice Chancellor of Student Affairs regarding any increases or reallocations.  The </w:t>
      </w:r>
      <w:r w:rsidR="006939ED">
        <w:rPr>
          <w:b w:val="0"/>
          <w:bCs w:val="0"/>
        </w:rPr>
        <w:t>requested</w:t>
      </w:r>
      <w:r>
        <w:rPr>
          <w:b w:val="0"/>
          <w:bCs w:val="0"/>
        </w:rPr>
        <w:t xml:space="preserve"> increases represent the Committee’s recommendations.</w:t>
      </w:r>
    </w:p>
    <w:p w14:paraId="0792D7C0" w14:textId="77777777" w:rsidR="00E94677" w:rsidRPr="00D732D3" w:rsidRDefault="00E94677" w:rsidP="00E94677">
      <w:pPr>
        <w:pStyle w:val="Title"/>
        <w:jc w:val="both"/>
        <w:rPr>
          <w:b w:val="0"/>
          <w:bCs w:val="0"/>
        </w:rPr>
      </w:pPr>
    </w:p>
    <w:p w14:paraId="276BA10A" w14:textId="5831FF99" w:rsidR="00E94677" w:rsidRPr="001F0E65" w:rsidRDefault="00E94677" w:rsidP="00E94677">
      <w:pPr>
        <w:pStyle w:val="Title"/>
        <w:jc w:val="both"/>
        <w:rPr>
          <w:b w:val="0"/>
        </w:rPr>
      </w:pPr>
      <w:r w:rsidRPr="001F0E65">
        <w:t xml:space="preserve">UMKC </w:t>
      </w:r>
      <w:r w:rsidRPr="001F0E65">
        <w:rPr>
          <w:b w:val="0"/>
        </w:rPr>
        <w:t xml:space="preserve">total student activity, facility, and service fees </w:t>
      </w:r>
      <w:bookmarkEnd w:id="7"/>
      <w:bookmarkEnd w:id="8"/>
      <w:r w:rsidR="001F0E65" w:rsidRPr="00266FFA">
        <w:rPr>
          <w:b w:val="0"/>
        </w:rPr>
        <w:t>are proposed to</w:t>
      </w:r>
      <w:r w:rsidR="001F0E65" w:rsidRPr="001F0E65">
        <w:rPr>
          <w:b w:val="0"/>
        </w:rPr>
        <w:t xml:space="preserve"> </w:t>
      </w:r>
      <w:r w:rsidRPr="001F0E65">
        <w:rPr>
          <w:b w:val="0"/>
        </w:rPr>
        <w:t xml:space="preserve">increase at </w:t>
      </w:r>
      <w:r w:rsidR="001F0E65" w:rsidRPr="00266FFA">
        <w:rPr>
          <w:b w:val="0"/>
        </w:rPr>
        <w:t>2.</w:t>
      </w:r>
      <w:r w:rsidR="006939ED">
        <w:rPr>
          <w:b w:val="0"/>
        </w:rPr>
        <w:t>3</w:t>
      </w:r>
      <w:r w:rsidRPr="001F0E65">
        <w:rPr>
          <w:b w:val="0"/>
        </w:rPr>
        <w:t>% or $</w:t>
      </w:r>
      <w:r w:rsidR="001F0E65" w:rsidRPr="00266FFA">
        <w:rPr>
          <w:b w:val="0"/>
        </w:rPr>
        <w:t>1</w:t>
      </w:r>
      <w:r w:rsidR="006939ED">
        <w:rPr>
          <w:b w:val="0"/>
        </w:rPr>
        <w:t>2.52</w:t>
      </w:r>
      <w:r w:rsidR="001F0E65" w:rsidRPr="00266FFA">
        <w:rPr>
          <w:b w:val="0"/>
        </w:rPr>
        <w:t xml:space="preserve"> a semester. </w:t>
      </w:r>
      <w:r w:rsidRPr="001F0E65">
        <w:rPr>
          <w:b w:val="0"/>
        </w:rPr>
        <w:t xml:space="preserve"> </w:t>
      </w:r>
    </w:p>
    <w:p w14:paraId="670DD0A0" w14:textId="77777777" w:rsidR="00E94677" w:rsidRPr="00266FFA" w:rsidRDefault="00E94677" w:rsidP="00E94677">
      <w:pPr>
        <w:pStyle w:val="Title"/>
        <w:jc w:val="both"/>
        <w:rPr>
          <w:b w:val="0"/>
          <w:highlight w:val="yellow"/>
        </w:rPr>
      </w:pPr>
    </w:p>
    <w:p w14:paraId="197B8426" w14:textId="77777777" w:rsidR="00E94677" w:rsidRPr="00A34FE5" w:rsidRDefault="00E94677" w:rsidP="00E94677">
      <w:pPr>
        <w:pStyle w:val="Title"/>
        <w:jc w:val="both"/>
        <w:rPr>
          <w:b w:val="0"/>
        </w:rPr>
      </w:pPr>
      <w:r w:rsidRPr="002204FC">
        <w:t>Missouri</w:t>
      </w:r>
      <w:r>
        <w:rPr>
          <w:b w:val="0"/>
        </w:rPr>
        <w:t xml:space="preserve"> </w:t>
      </w:r>
      <w:r w:rsidRPr="00B96059">
        <w:t>S&amp;T</w:t>
      </w:r>
      <w:r w:rsidRPr="00B96059">
        <w:rPr>
          <w:b w:val="0"/>
        </w:rPr>
        <w:t xml:space="preserve"> </w:t>
      </w:r>
      <w:r>
        <w:rPr>
          <w:b w:val="0"/>
        </w:rPr>
        <w:t xml:space="preserve">total student </w:t>
      </w:r>
      <w:r w:rsidRPr="00B96059">
        <w:rPr>
          <w:b w:val="0"/>
        </w:rPr>
        <w:t>activity, facility</w:t>
      </w:r>
      <w:r>
        <w:rPr>
          <w:b w:val="0"/>
        </w:rPr>
        <w:t>,</w:t>
      </w:r>
      <w:r w:rsidRPr="00B96059">
        <w:rPr>
          <w:b w:val="0"/>
        </w:rPr>
        <w:t xml:space="preserve"> and service fees are proposed to increase by </w:t>
      </w:r>
      <w:r>
        <w:rPr>
          <w:b w:val="0"/>
        </w:rPr>
        <w:t>2.</w:t>
      </w:r>
      <w:r w:rsidR="00F16099">
        <w:rPr>
          <w:b w:val="0"/>
        </w:rPr>
        <w:t>3</w:t>
      </w:r>
      <w:r w:rsidRPr="00B96059">
        <w:rPr>
          <w:b w:val="0"/>
        </w:rPr>
        <w:t>%</w:t>
      </w:r>
      <w:r>
        <w:rPr>
          <w:b w:val="0"/>
        </w:rPr>
        <w:t xml:space="preserve"> or </w:t>
      </w:r>
      <w:r w:rsidRPr="00E76738">
        <w:rPr>
          <w:b w:val="0"/>
        </w:rPr>
        <w:t>$</w:t>
      </w:r>
      <w:r>
        <w:rPr>
          <w:b w:val="0"/>
        </w:rPr>
        <w:t>1</w:t>
      </w:r>
      <w:r w:rsidR="00F16099">
        <w:rPr>
          <w:b w:val="0"/>
        </w:rPr>
        <w:t>1.30</w:t>
      </w:r>
      <w:r w:rsidRPr="00E76738">
        <w:rPr>
          <w:b w:val="0"/>
        </w:rPr>
        <w:t xml:space="preserve"> </w:t>
      </w:r>
      <w:r>
        <w:rPr>
          <w:b w:val="0"/>
        </w:rPr>
        <w:t xml:space="preserve">a semester. </w:t>
      </w:r>
    </w:p>
    <w:p w14:paraId="328977B4" w14:textId="77777777" w:rsidR="00E94677" w:rsidRPr="001B5B95" w:rsidRDefault="00E94677" w:rsidP="00E94677">
      <w:pPr>
        <w:pStyle w:val="Title"/>
        <w:ind w:left="720"/>
        <w:jc w:val="left"/>
        <w:rPr>
          <w:b w:val="0"/>
        </w:rPr>
      </w:pPr>
    </w:p>
    <w:p w14:paraId="5EC1FC52" w14:textId="77777777" w:rsidR="00E94677" w:rsidRDefault="00E94677" w:rsidP="00E94677">
      <w:pPr>
        <w:pStyle w:val="Title"/>
        <w:jc w:val="both"/>
        <w:rPr>
          <w:b w:val="0"/>
        </w:rPr>
      </w:pPr>
      <w:r>
        <w:rPr>
          <w:b w:val="0"/>
        </w:rPr>
        <w:t>In FY</w:t>
      </w:r>
      <w:r w:rsidR="00694BD6">
        <w:rPr>
          <w:b w:val="0"/>
        </w:rPr>
        <w:t xml:space="preserve"> </w:t>
      </w:r>
      <w:r>
        <w:rPr>
          <w:b w:val="0"/>
        </w:rPr>
        <w:t xml:space="preserve">14 the </w:t>
      </w:r>
      <w:r w:rsidRPr="006A6F9B">
        <w:t>UMSL</w:t>
      </w:r>
      <w:r>
        <w:rPr>
          <w:b w:val="0"/>
        </w:rPr>
        <w:t xml:space="preserve"> campus restructured their tuition and required fees into a base tuition rate. The campus no longer assesses student activity, facility, and service fees separately.</w:t>
      </w:r>
    </w:p>
    <w:p w14:paraId="52F9BE03" w14:textId="58CCFB79" w:rsidR="00AB2C3F" w:rsidRDefault="00AB2C3F" w:rsidP="00E94677">
      <w:pPr>
        <w:pStyle w:val="Title"/>
        <w:jc w:val="both"/>
        <w:rPr>
          <w:b w:val="0"/>
        </w:rPr>
      </w:pPr>
    </w:p>
    <w:p w14:paraId="648C67A5" w14:textId="77777777" w:rsidR="00CD0552" w:rsidRPr="00CD0552" w:rsidRDefault="00CD0552" w:rsidP="00CD0552">
      <w:pPr>
        <w:jc w:val="both"/>
        <w:rPr>
          <w:u w:val="single"/>
        </w:rPr>
      </w:pPr>
      <w:r w:rsidRPr="00CD0552">
        <w:rPr>
          <w:u w:val="single"/>
        </w:rPr>
        <w:t>Fee Rate Schedules</w:t>
      </w:r>
    </w:p>
    <w:p w14:paraId="79712391" w14:textId="77777777" w:rsidR="00CD0552" w:rsidRDefault="00CD0552" w:rsidP="00CD0552">
      <w:pPr>
        <w:jc w:val="both"/>
      </w:pPr>
    </w:p>
    <w:p w14:paraId="046E70D5" w14:textId="5E947738" w:rsidR="00CD0552" w:rsidRDefault="00CD0552" w:rsidP="00CD0552">
      <w:pPr>
        <w:jc w:val="both"/>
      </w:pPr>
      <w:r>
        <w:t>Rate s</w:t>
      </w:r>
      <w:r w:rsidRPr="00AE6031">
        <w:t xml:space="preserve">chedules for </w:t>
      </w:r>
      <w:r>
        <w:t>FY 202</w:t>
      </w:r>
      <w:r w:rsidR="00836585">
        <w:t>1</w:t>
      </w:r>
      <w:r>
        <w:t xml:space="preserve"> t</w:t>
      </w:r>
      <w:r w:rsidRPr="00AE6031">
        <w:t>uition</w:t>
      </w:r>
      <w:r>
        <w:t>, information technology fees, and student activity, facility,</w:t>
      </w:r>
      <w:r w:rsidRPr="00AE6031">
        <w:t xml:space="preserve"> and </w:t>
      </w:r>
      <w:r>
        <w:t>s</w:t>
      </w:r>
      <w:r w:rsidRPr="00AE6031">
        <w:t xml:space="preserve">ervice </w:t>
      </w:r>
      <w:r>
        <w:t>fees along with the marginal annual impact of the increases are below.</w:t>
      </w:r>
    </w:p>
    <w:p w14:paraId="1EE0AA79" w14:textId="01B14589" w:rsidR="00A729B8" w:rsidRDefault="00A729B8" w:rsidP="00E94677">
      <w:pPr>
        <w:pStyle w:val="Title"/>
        <w:jc w:val="both"/>
        <w:rPr>
          <w:b w:val="0"/>
        </w:rPr>
      </w:pPr>
    </w:p>
    <w:p w14:paraId="746C3EAE" w14:textId="47567D28" w:rsidR="00CD0552" w:rsidRDefault="00CD0552" w:rsidP="00E94677">
      <w:pPr>
        <w:pStyle w:val="Title"/>
        <w:jc w:val="both"/>
        <w:rPr>
          <w:b w:val="0"/>
        </w:rPr>
      </w:pPr>
    </w:p>
    <w:p w14:paraId="49B089F1" w14:textId="38E24E58" w:rsidR="00F37686" w:rsidRDefault="002C48B7" w:rsidP="00E94677">
      <w:pPr>
        <w:pStyle w:val="Title"/>
        <w:jc w:val="both"/>
        <w:rPr>
          <w:b w:val="0"/>
        </w:rPr>
      </w:pPr>
      <w:r w:rsidRPr="002C48B7">
        <w:rPr>
          <w:noProof/>
        </w:rPr>
        <w:drawing>
          <wp:inline distT="0" distB="0" distL="0" distR="0" wp14:anchorId="24D00233" wp14:editId="4BAFF8A2">
            <wp:extent cx="5486400" cy="324791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6400" cy="3247910"/>
                    </a:xfrm>
                    <a:prstGeom prst="rect">
                      <a:avLst/>
                    </a:prstGeom>
                    <a:noFill/>
                    <a:ln>
                      <a:noFill/>
                    </a:ln>
                  </pic:spPr>
                </pic:pic>
              </a:graphicData>
            </a:graphic>
          </wp:inline>
        </w:drawing>
      </w:r>
    </w:p>
    <w:p w14:paraId="5CE46A99" w14:textId="1806EFD8" w:rsidR="002C48B7" w:rsidRDefault="002C48B7" w:rsidP="00E94677">
      <w:pPr>
        <w:pStyle w:val="Title"/>
        <w:jc w:val="both"/>
        <w:rPr>
          <w:b w:val="0"/>
        </w:rPr>
      </w:pPr>
    </w:p>
    <w:p w14:paraId="5D2BF4D4" w14:textId="5857702C" w:rsidR="002C48B7" w:rsidRDefault="002C48B7" w:rsidP="00E94677">
      <w:pPr>
        <w:pStyle w:val="Title"/>
        <w:jc w:val="both"/>
        <w:rPr>
          <w:b w:val="0"/>
        </w:rPr>
      </w:pPr>
      <w:r w:rsidRPr="002C48B7">
        <w:rPr>
          <w:noProof/>
        </w:rPr>
        <w:lastRenderedPageBreak/>
        <w:drawing>
          <wp:inline distT="0" distB="0" distL="0" distR="0" wp14:anchorId="577CE3C8" wp14:editId="1177669C">
            <wp:extent cx="5486400" cy="638954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6389540"/>
                    </a:xfrm>
                    <a:prstGeom prst="rect">
                      <a:avLst/>
                    </a:prstGeom>
                    <a:noFill/>
                    <a:ln>
                      <a:noFill/>
                    </a:ln>
                  </pic:spPr>
                </pic:pic>
              </a:graphicData>
            </a:graphic>
          </wp:inline>
        </w:drawing>
      </w:r>
    </w:p>
    <w:p w14:paraId="2D773B73" w14:textId="70430F93" w:rsidR="00532EC1" w:rsidRDefault="00532EC1" w:rsidP="00E94677">
      <w:pPr>
        <w:pStyle w:val="Title"/>
        <w:jc w:val="both"/>
        <w:rPr>
          <w:b w:val="0"/>
        </w:rPr>
      </w:pPr>
      <w:r w:rsidRPr="00532EC1">
        <w:rPr>
          <w:noProof/>
        </w:rPr>
        <w:lastRenderedPageBreak/>
        <w:drawing>
          <wp:inline distT="0" distB="0" distL="0" distR="0" wp14:anchorId="61495569" wp14:editId="7DB6D5A6">
            <wp:extent cx="5665410" cy="2314041"/>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5433" cy="2314050"/>
                    </a:xfrm>
                    <a:prstGeom prst="rect">
                      <a:avLst/>
                    </a:prstGeom>
                    <a:noFill/>
                    <a:ln>
                      <a:noFill/>
                    </a:ln>
                  </pic:spPr>
                </pic:pic>
              </a:graphicData>
            </a:graphic>
          </wp:inline>
        </w:drawing>
      </w:r>
    </w:p>
    <w:p w14:paraId="57B96972" w14:textId="77777777" w:rsidR="00532EC1" w:rsidRDefault="00532EC1" w:rsidP="00E94677">
      <w:pPr>
        <w:pStyle w:val="Title"/>
        <w:jc w:val="both"/>
        <w:rPr>
          <w:b w:val="0"/>
        </w:rPr>
      </w:pPr>
    </w:p>
    <w:p w14:paraId="40C4EA4A" w14:textId="01D380A5" w:rsidR="00532EC1" w:rsidRDefault="00532EC1" w:rsidP="00E94677">
      <w:pPr>
        <w:pStyle w:val="Title"/>
        <w:jc w:val="both"/>
        <w:rPr>
          <w:b w:val="0"/>
        </w:rPr>
      </w:pPr>
      <w:r w:rsidRPr="00532EC1">
        <w:rPr>
          <w:noProof/>
        </w:rPr>
        <w:drawing>
          <wp:inline distT="0" distB="0" distL="0" distR="0" wp14:anchorId="2D6D1709" wp14:editId="5FB9A6DB">
            <wp:extent cx="5486400" cy="2566001"/>
            <wp:effectExtent l="0" t="0" r="0" b="635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2566001"/>
                    </a:xfrm>
                    <a:prstGeom prst="rect">
                      <a:avLst/>
                    </a:prstGeom>
                    <a:noFill/>
                    <a:ln>
                      <a:noFill/>
                    </a:ln>
                  </pic:spPr>
                </pic:pic>
              </a:graphicData>
            </a:graphic>
          </wp:inline>
        </w:drawing>
      </w:r>
    </w:p>
    <w:p w14:paraId="06FBF08A" w14:textId="6D4951D9" w:rsidR="00CD0552" w:rsidRDefault="00CD0552" w:rsidP="00E94677">
      <w:pPr>
        <w:pStyle w:val="Title"/>
        <w:jc w:val="both"/>
        <w:rPr>
          <w:b w:val="0"/>
        </w:rPr>
      </w:pPr>
    </w:p>
    <w:p w14:paraId="30D5EF30" w14:textId="51CA32C7" w:rsidR="00840894" w:rsidRDefault="00C57F69" w:rsidP="00E94677">
      <w:pPr>
        <w:pStyle w:val="Title"/>
        <w:jc w:val="both"/>
        <w:rPr>
          <w:b w:val="0"/>
        </w:rPr>
      </w:pPr>
      <w:r w:rsidRPr="00C57F69">
        <w:rPr>
          <w:bCs w:val="0"/>
        </w:rPr>
        <w:t xml:space="preserve"> </w:t>
      </w:r>
      <w:r w:rsidRPr="00C57F69">
        <w:rPr>
          <w:noProof/>
        </w:rPr>
        <w:drawing>
          <wp:inline distT="0" distB="0" distL="0" distR="0" wp14:anchorId="50C38F61" wp14:editId="3F05D1BB">
            <wp:extent cx="5436220" cy="1782872"/>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3994" cy="1785422"/>
                    </a:xfrm>
                    <a:prstGeom prst="rect">
                      <a:avLst/>
                    </a:prstGeom>
                    <a:noFill/>
                    <a:ln>
                      <a:noFill/>
                    </a:ln>
                  </pic:spPr>
                </pic:pic>
              </a:graphicData>
            </a:graphic>
          </wp:inline>
        </w:drawing>
      </w:r>
    </w:p>
    <w:p w14:paraId="564E526F" w14:textId="26B5EFD2" w:rsidR="00CD0552" w:rsidRDefault="009333EC" w:rsidP="00E94677">
      <w:pPr>
        <w:pStyle w:val="Title"/>
        <w:jc w:val="both"/>
        <w:rPr>
          <w:b w:val="0"/>
        </w:rPr>
      </w:pPr>
      <w:r w:rsidRPr="009333EC">
        <w:rPr>
          <w:bCs w:val="0"/>
        </w:rPr>
        <w:lastRenderedPageBreak/>
        <w:t xml:space="preserve"> </w:t>
      </w:r>
      <w:r w:rsidRPr="009333EC">
        <w:rPr>
          <w:noProof/>
        </w:rPr>
        <w:drawing>
          <wp:inline distT="0" distB="0" distL="0" distR="0" wp14:anchorId="7199BF2E" wp14:editId="0FE0309F">
            <wp:extent cx="5486400" cy="7776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86400" cy="7776105"/>
                    </a:xfrm>
                    <a:prstGeom prst="rect">
                      <a:avLst/>
                    </a:prstGeom>
                    <a:noFill/>
                    <a:ln>
                      <a:noFill/>
                    </a:ln>
                  </pic:spPr>
                </pic:pic>
              </a:graphicData>
            </a:graphic>
          </wp:inline>
        </w:drawing>
      </w:r>
    </w:p>
    <w:p w14:paraId="20C18F49" w14:textId="30391DD6" w:rsidR="00215468" w:rsidRPr="00E94677" w:rsidRDefault="00215468" w:rsidP="006A61A5">
      <w:pPr>
        <w:ind w:left="-990"/>
        <w:jc w:val="center"/>
      </w:pPr>
    </w:p>
    <w:sectPr w:rsidR="00215468" w:rsidRPr="00E94677" w:rsidSect="004F30A7">
      <w:footerReference w:type="default" r:id="rId27"/>
      <w:pgSz w:w="12240" w:h="15840" w:code="1"/>
      <w:pgMar w:top="1440" w:right="1440" w:bottom="1440" w:left="2160" w:header="1152"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E6950" w14:textId="77777777" w:rsidR="00F937B3" w:rsidRDefault="00F937B3" w:rsidP="00E94677">
      <w:r>
        <w:separator/>
      </w:r>
    </w:p>
  </w:endnote>
  <w:endnote w:type="continuationSeparator" w:id="0">
    <w:p w14:paraId="24E99BB2" w14:textId="77777777" w:rsidR="00F937B3" w:rsidRDefault="00F937B3" w:rsidP="00E9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C03A" w14:textId="44837D46" w:rsidR="00EA1145" w:rsidRDefault="00EA1145" w:rsidP="001033A6">
    <w:pPr>
      <w:pStyle w:val="Footer"/>
      <w:tabs>
        <w:tab w:val="clear" w:pos="4680"/>
        <w:tab w:val="clear" w:pos="9360"/>
        <w:tab w:val="center" w:pos="4320"/>
        <w:tab w:val="right" w:pos="8640"/>
      </w:tabs>
      <w:rPr>
        <w:sz w:val="20"/>
        <w:szCs w:val="20"/>
      </w:rPr>
    </w:pPr>
    <w:r>
      <w:rPr>
        <w:sz w:val="20"/>
        <w:szCs w:val="20"/>
      </w:rPr>
      <w:tab/>
    </w:r>
    <w:r>
      <w:rPr>
        <w:sz w:val="20"/>
        <w:szCs w:val="20"/>
      </w:rPr>
      <w:tab/>
      <w:t>June 18-19, 2020</w:t>
    </w:r>
  </w:p>
  <w:p w14:paraId="24634FB3" w14:textId="781D1DD8" w:rsidR="00EA1145" w:rsidRPr="0065457C" w:rsidRDefault="00EA1145" w:rsidP="001033A6">
    <w:pPr>
      <w:pStyle w:val="Footer"/>
      <w:tabs>
        <w:tab w:val="clear" w:pos="4680"/>
        <w:tab w:val="clear" w:pos="9360"/>
        <w:tab w:val="center" w:pos="4320"/>
        <w:tab w:val="right" w:pos="8640"/>
      </w:tabs>
    </w:pPr>
    <w:r>
      <w:tab/>
      <w:t>OPEN – FIN –</w:t>
    </w:r>
    <w:r w:rsidR="00D36B65">
      <w:t xml:space="preserve"> </w:t>
    </w:r>
    <w:r>
      <w:t>3-</w:t>
    </w:r>
    <w:r>
      <w:fldChar w:fldCharType="begin"/>
    </w:r>
    <w:r>
      <w:instrText xml:space="preserve"> PAGE   \* MERGEFORMAT </w:instrText>
    </w:r>
    <w:r>
      <w:fldChar w:fldCharType="separate"/>
    </w:r>
    <w:r>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987B" w14:textId="77777777" w:rsidR="00F937B3" w:rsidRDefault="00F937B3" w:rsidP="00E94677">
      <w:r>
        <w:separator/>
      </w:r>
    </w:p>
  </w:footnote>
  <w:footnote w:type="continuationSeparator" w:id="0">
    <w:p w14:paraId="6E7FE6C1" w14:textId="77777777" w:rsidR="00F937B3" w:rsidRDefault="00F937B3" w:rsidP="00E94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04B88"/>
    <w:multiLevelType w:val="hybridMultilevel"/>
    <w:tmpl w:val="C340E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D3426"/>
    <w:multiLevelType w:val="hybridMultilevel"/>
    <w:tmpl w:val="35428976"/>
    <w:lvl w:ilvl="0" w:tplc="8176EC0C">
      <w:start w:val="7"/>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D334BA"/>
    <w:multiLevelType w:val="hybridMultilevel"/>
    <w:tmpl w:val="E8827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C6C38"/>
    <w:multiLevelType w:val="hybridMultilevel"/>
    <w:tmpl w:val="BEBA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0155C"/>
    <w:multiLevelType w:val="hybridMultilevel"/>
    <w:tmpl w:val="2CDE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56ABF"/>
    <w:multiLevelType w:val="hybridMultilevel"/>
    <w:tmpl w:val="F69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C6DB0"/>
    <w:multiLevelType w:val="hybridMultilevel"/>
    <w:tmpl w:val="8648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C1D9F"/>
    <w:multiLevelType w:val="hybridMultilevel"/>
    <w:tmpl w:val="02DE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1019C"/>
    <w:multiLevelType w:val="hybridMultilevel"/>
    <w:tmpl w:val="66DEC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E4BFE"/>
    <w:multiLevelType w:val="hybridMultilevel"/>
    <w:tmpl w:val="9ACC2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A75BF"/>
    <w:multiLevelType w:val="hybridMultilevel"/>
    <w:tmpl w:val="D25ED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7B7ED7"/>
    <w:multiLevelType w:val="hybridMultilevel"/>
    <w:tmpl w:val="8BB063C0"/>
    <w:lvl w:ilvl="0" w:tplc="8200B47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FE2161E">
      <w:start w:val="1"/>
      <w:numFmt w:val="lowerRoman"/>
      <w:lvlText w:val="%3."/>
      <w:lvlJc w:val="right"/>
      <w:pPr>
        <w:tabs>
          <w:tab w:val="num" w:pos="2520"/>
        </w:tabs>
        <w:ind w:left="2520" w:hanging="180"/>
      </w:pPr>
      <w:rPr>
        <w:color w:val="auto"/>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4F811C2"/>
    <w:multiLevelType w:val="hybridMultilevel"/>
    <w:tmpl w:val="E4DA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725C5"/>
    <w:multiLevelType w:val="hybridMultilevel"/>
    <w:tmpl w:val="47C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3"/>
  </w:num>
  <w:num w:numId="5">
    <w:abstractNumId w:val="7"/>
  </w:num>
  <w:num w:numId="6">
    <w:abstractNumId w:val="8"/>
  </w:num>
  <w:num w:numId="7">
    <w:abstractNumId w:val="1"/>
  </w:num>
  <w:num w:numId="8">
    <w:abstractNumId w:val="10"/>
  </w:num>
  <w:num w:numId="9">
    <w:abstractNumId w:val="2"/>
  </w:num>
  <w:num w:numId="10">
    <w:abstractNumId w:val="0"/>
  </w:num>
  <w:num w:numId="11">
    <w:abstractNumId w:val="3"/>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77"/>
    <w:rsid w:val="0000140A"/>
    <w:rsid w:val="00003117"/>
    <w:rsid w:val="00003922"/>
    <w:rsid w:val="0001219E"/>
    <w:rsid w:val="00013CB0"/>
    <w:rsid w:val="0001545D"/>
    <w:rsid w:val="0003110F"/>
    <w:rsid w:val="000402AC"/>
    <w:rsid w:val="00050C45"/>
    <w:rsid w:val="000656E6"/>
    <w:rsid w:val="00071F39"/>
    <w:rsid w:val="000735D2"/>
    <w:rsid w:val="00080A34"/>
    <w:rsid w:val="00081038"/>
    <w:rsid w:val="000837B9"/>
    <w:rsid w:val="000909C5"/>
    <w:rsid w:val="000A0ECA"/>
    <w:rsid w:val="000A23C4"/>
    <w:rsid w:val="000C1146"/>
    <w:rsid w:val="000C3C43"/>
    <w:rsid w:val="000C5326"/>
    <w:rsid w:val="000D4CAD"/>
    <w:rsid w:val="000D4FD5"/>
    <w:rsid w:val="000D7B52"/>
    <w:rsid w:val="000E1186"/>
    <w:rsid w:val="000F2203"/>
    <w:rsid w:val="000F26F9"/>
    <w:rsid w:val="000F41C5"/>
    <w:rsid w:val="00100652"/>
    <w:rsid w:val="001033A6"/>
    <w:rsid w:val="0011212E"/>
    <w:rsid w:val="00122EC3"/>
    <w:rsid w:val="00126F02"/>
    <w:rsid w:val="0013080D"/>
    <w:rsid w:val="001362DC"/>
    <w:rsid w:val="00136C65"/>
    <w:rsid w:val="0014228A"/>
    <w:rsid w:val="00143E8C"/>
    <w:rsid w:val="001440D4"/>
    <w:rsid w:val="001447C4"/>
    <w:rsid w:val="0014793B"/>
    <w:rsid w:val="001531C5"/>
    <w:rsid w:val="00154754"/>
    <w:rsid w:val="001548F1"/>
    <w:rsid w:val="0016237E"/>
    <w:rsid w:val="00165F6D"/>
    <w:rsid w:val="001706F9"/>
    <w:rsid w:val="00172974"/>
    <w:rsid w:val="00181AFB"/>
    <w:rsid w:val="00185A66"/>
    <w:rsid w:val="0019053A"/>
    <w:rsid w:val="00190922"/>
    <w:rsid w:val="00190CDA"/>
    <w:rsid w:val="00191243"/>
    <w:rsid w:val="001A0C2B"/>
    <w:rsid w:val="001A117D"/>
    <w:rsid w:val="001B0039"/>
    <w:rsid w:val="001B034F"/>
    <w:rsid w:val="001B2013"/>
    <w:rsid w:val="001B43F3"/>
    <w:rsid w:val="001B68BF"/>
    <w:rsid w:val="001C19AD"/>
    <w:rsid w:val="001C4ABF"/>
    <w:rsid w:val="001C7755"/>
    <w:rsid w:val="001E209B"/>
    <w:rsid w:val="001F0E65"/>
    <w:rsid w:val="001F1E04"/>
    <w:rsid w:val="001F5696"/>
    <w:rsid w:val="001F5F21"/>
    <w:rsid w:val="00206992"/>
    <w:rsid w:val="00214614"/>
    <w:rsid w:val="00215468"/>
    <w:rsid w:val="00225F85"/>
    <w:rsid w:val="00233B1C"/>
    <w:rsid w:val="002346F0"/>
    <w:rsid w:val="00235170"/>
    <w:rsid w:val="00235D45"/>
    <w:rsid w:val="00240449"/>
    <w:rsid w:val="00246E37"/>
    <w:rsid w:val="0025296B"/>
    <w:rsid w:val="00255713"/>
    <w:rsid w:val="00256C61"/>
    <w:rsid w:val="00260F75"/>
    <w:rsid w:val="002627F0"/>
    <w:rsid w:val="00266FFA"/>
    <w:rsid w:val="002675B5"/>
    <w:rsid w:val="0027025E"/>
    <w:rsid w:val="00270C86"/>
    <w:rsid w:val="00284040"/>
    <w:rsid w:val="002900A1"/>
    <w:rsid w:val="00290727"/>
    <w:rsid w:val="002A4DD6"/>
    <w:rsid w:val="002A7E24"/>
    <w:rsid w:val="002B0880"/>
    <w:rsid w:val="002B7F55"/>
    <w:rsid w:val="002C1045"/>
    <w:rsid w:val="002C48B7"/>
    <w:rsid w:val="002D0F92"/>
    <w:rsid w:val="002D158B"/>
    <w:rsid w:val="002D37E0"/>
    <w:rsid w:val="002D5943"/>
    <w:rsid w:val="002E2740"/>
    <w:rsid w:val="002E5737"/>
    <w:rsid w:val="002E651E"/>
    <w:rsid w:val="002F4327"/>
    <w:rsid w:val="00305085"/>
    <w:rsid w:val="00317F1F"/>
    <w:rsid w:val="0032558C"/>
    <w:rsid w:val="00325E33"/>
    <w:rsid w:val="00327EB2"/>
    <w:rsid w:val="00333156"/>
    <w:rsid w:val="00334F5E"/>
    <w:rsid w:val="00340919"/>
    <w:rsid w:val="003445DB"/>
    <w:rsid w:val="00345B31"/>
    <w:rsid w:val="00347BA6"/>
    <w:rsid w:val="003506E8"/>
    <w:rsid w:val="003540C5"/>
    <w:rsid w:val="00356695"/>
    <w:rsid w:val="00357969"/>
    <w:rsid w:val="003638C2"/>
    <w:rsid w:val="003710A6"/>
    <w:rsid w:val="003743A9"/>
    <w:rsid w:val="00375E7D"/>
    <w:rsid w:val="00384C62"/>
    <w:rsid w:val="003850C5"/>
    <w:rsid w:val="0039080F"/>
    <w:rsid w:val="003918EB"/>
    <w:rsid w:val="0039201F"/>
    <w:rsid w:val="00393099"/>
    <w:rsid w:val="00394623"/>
    <w:rsid w:val="00394F2C"/>
    <w:rsid w:val="003B38C7"/>
    <w:rsid w:val="003B5FC8"/>
    <w:rsid w:val="003C1B40"/>
    <w:rsid w:val="003D7B68"/>
    <w:rsid w:val="003E2357"/>
    <w:rsid w:val="003E6C77"/>
    <w:rsid w:val="003F0443"/>
    <w:rsid w:val="003F5EED"/>
    <w:rsid w:val="00402B42"/>
    <w:rsid w:val="0040631F"/>
    <w:rsid w:val="0041397D"/>
    <w:rsid w:val="004157F9"/>
    <w:rsid w:val="004212D8"/>
    <w:rsid w:val="004228A8"/>
    <w:rsid w:val="00426D63"/>
    <w:rsid w:val="004542E5"/>
    <w:rsid w:val="00455E75"/>
    <w:rsid w:val="00461F13"/>
    <w:rsid w:val="00493E21"/>
    <w:rsid w:val="004A673A"/>
    <w:rsid w:val="004A7ADA"/>
    <w:rsid w:val="004B06D9"/>
    <w:rsid w:val="004B4457"/>
    <w:rsid w:val="004C2582"/>
    <w:rsid w:val="004C46E0"/>
    <w:rsid w:val="004C473D"/>
    <w:rsid w:val="004C626A"/>
    <w:rsid w:val="004C694D"/>
    <w:rsid w:val="004D1987"/>
    <w:rsid w:val="004D5BF0"/>
    <w:rsid w:val="004E2AD8"/>
    <w:rsid w:val="004E6033"/>
    <w:rsid w:val="004E6E3C"/>
    <w:rsid w:val="004E7406"/>
    <w:rsid w:val="004F08BA"/>
    <w:rsid w:val="004F0FE7"/>
    <w:rsid w:val="004F1B41"/>
    <w:rsid w:val="004F2F69"/>
    <w:rsid w:val="004F30A7"/>
    <w:rsid w:val="004F5860"/>
    <w:rsid w:val="00503D78"/>
    <w:rsid w:val="00512B37"/>
    <w:rsid w:val="00515231"/>
    <w:rsid w:val="005155B9"/>
    <w:rsid w:val="005172DE"/>
    <w:rsid w:val="00530217"/>
    <w:rsid w:val="00532645"/>
    <w:rsid w:val="00532EC1"/>
    <w:rsid w:val="00533842"/>
    <w:rsid w:val="00542954"/>
    <w:rsid w:val="00543A73"/>
    <w:rsid w:val="0055112E"/>
    <w:rsid w:val="005577B0"/>
    <w:rsid w:val="00557AD2"/>
    <w:rsid w:val="00560980"/>
    <w:rsid w:val="0056785E"/>
    <w:rsid w:val="005818C7"/>
    <w:rsid w:val="0058339F"/>
    <w:rsid w:val="0058577F"/>
    <w:rsid w:val="005865C6"/>
    <w:rsid w:val="005868BA"/>
    <w:rsid w:val="0059561A"/>
    <w:rsid w:val="005A089C"/>
    <w:rsid w:val="005A29AE"/>
    <w:rsid w:val="005A4786"/>
    <w:rsid w:val="005B295D"/>
    <w:rsid w:val="005B3B2C"/>
    <w:rsid w:val="005B60C8"/>
    <w:rsid w:val="005C0945"/>
    <w:rsid w:val="005C1B38"/>
    <w:rsid w:val="005C1DB6"/>
    <w:rsid w:val="005C3C6D"/>
    <w:rsid w:val="005C6C4D"/>
    <w:rsid w:val="005D00A8"/>
    <w:rsid w:val="005D30A8"/>
    <w:rsid w:val="005D5F94"/>
    <w:rsid w:val="005E000D"/>
    <w:rsid w:val="005E26C0"/>
    <w:rsid w:val="005E38E8"/>
    <w:rsid w:val="005E557B"/>
    <w:rsid w:val="005E652F"/>
    <w:rsid w:val="005F4FC1"/>
    <w:rsid w:val="00603562"/>
    <w:rsid w:val="00626A8C"/>
    <w:rsid w:val="00632267"/>
    <w:rsid w:val="00632E58"/>
    <w:rsid w:val="006406A3"/>
    <w:rsid w:val="00653223"/>
    <w:rsid w:val="0065457C"/>
    <w:rsid w:val="00655DE4"/>
    <w:rsid w:val="00656F67"/>
    <w:rsid w:val="00657D4A"/>
    <w:rsid w:val="0066171F"/>
    <w:rsid w:val="00662E0C"/>
    <w:rsid w:val="00665DCE"/>
    <w:rsid w:val="006665B7"/>
    <w:rsid w:val="00673734"/>
    <w:rsid w:val="00675F9A"/>
    <w:rsid w:val="00677E67"/>
    <w:rsid w:val="00684542"/>
    <w:rsid w:val="0068454D"/>
    <w:rsid w:val="00687465"/>
    <w:rsid w:val="006939ED"/>
    <w:rsid w:val="00693F28"/>
    <w:rsid w:val="00694BD6"/>
    <w:rsid w:val="00695905"/>
    <w:rsid w:val="00696465"/>
    <w:rsid w:val="00697034"/>
    <w:rsid w:val="006A61A5"/>
    <w:rsid w:val="006B0429"/>
    <w:rsid w:val="006D2DD2"/>
    <w:rsid w:val="006E7DDD"/>
    <w:rsid w:val="006F5D9F"/>
    <w:rsid w:val="0070536A"/>
    <w:rsid w:val="00706D6F"/>
    <w:rsid w:val="00707662"/>
    <w:rsid w:val="00715024"/>
    <w:rsid w:val="00721E8F"/>
    <w:rsid w:val="00722A4E"/>
    <w:rsid w:val="00725236"/>
    <w:rsid w:val="00725884"/>
    <w:rsid w:val="0073067A"/>
    <w:rsid w:val="007312AF"/>
    <w:rsid w:val="00732921"/>
    <w:rsid w:val="007339EA"/>
    <w:rsid w:val="00733D9F"/>
    <w:rsid w:val="00743895"/>
    <w:rsid w:val="007452E2"/>
    <w:rsid w:val="007465E1"/>
    <w:rsid w:val="00750688"/>
    <w:rsid w:val="00762F83"/>
    <w:rsid w:val="00774F54"/>
    <w:rsid w:val="007820C8"/>
    <w:rsid w:val="00786008"/>
    <w:rsid w:val="007A2934"/>
    <w:rsid w:val="007A6F11"/>
    <w:rsid w:val="007B0E83"/>
    <w:rsid w:val="007B13FA"/>
    <w:rsid w:val="007B4262"/>
    <w:rsid w:val="007B6F10"/>
    <w:rsid w:val="007C05CA"/>
    <w:rsid w:val="007C20D8"/>
    <w:rsid w:val="007C5DB8"/>
    <w:rsid w:val="007E194D"/>
    <w:rsid w:val="007E3DD0"/>
    <w:rsid w:val="007F110F"/>
    <w:rsid w:val="007F5D9E"/>
    <w:rsid w:val="00806C3E"/>
    <w:rsid w:val="008073CA"/>
    <w:rsid w:val="00817A5E"/>
    <w:rsid w:val="00820075"/>
    <w:rsid w:val="00823C8C"/>
    <w:rsid w:val="0082653D"/>
    <w:rsid w:val="0082710A"/>
    <w:rsid w:val="00832821"/>
    <w:rsid w:val="0083593B"/>
    <w:rsid w:val="00836585"/>
    <w:rsid w:val="00836945"/>
    <w:rsid w:val="00837450"/>
    <w:rsid w:val="00837858"/>
    <w:rsid w:val="008405D2"/>
    <w:rsid w:val="00840894"/>
    <w:rsid w:val="008472DE"/>
    <w:rsid w:val="00852B77"/>
    <w:rsid w:val="00853501"/>
    <w:rsid w:val="0085407C"/>
    <w:rsid w:val="00861085"/>
    <w:rsid w:val="00870603"/>
    <w:rsid w:val="00873A3F"/>
    <w:rsid w:val="00874085"/>
    <w:rsid w:val="00875B58"/>
    <w:rsid w:val="00876E7E"/>
    <w:rsid w:val="00882DD9"/>
    <w:rsid w:val="00896192"/>
    <w:rsid w:val="008A5772"/>
    <w:rsid w:val="008B46C1"/>
    <w:rsid w:val="008B7468"/>
    <w:rsid w:val="008C34F4"/>
    <w:rsid w:val="008C3989"/>
    <w:rsid w:val="008E0D33"/>
    <w:rsid w:val="008E6D9D"/>
    <w:rsid w:val="008F1785"/>
    <w:rsid w:val="008F356A"/>
    <w:rsid w:val="008F45C3"/>
    <w:rsid w:val="00902CA6"/>
    <w:rsid w:val="009044C6"/>
    <w:rsid w:val="009102F6"/>
    <w:rsid w:val="00911616"/>
    <w:rsid w:val="00912690"/>
    <w:rsid w:val="00915E9A"/>
    <w:rsid w:val="009210D6"/>
    <w:rsid w:val="009232DE"/>
    <w:rsid w:val="00923970"/>
    <w:rsid w:val="009333EC"/>
    <w:rsid w:val="009337B1"/>
    <w:rsid w:val="00944C41"/>
    <w:rsid w:val="00945670"/>
    <w:rsid w:val="00953A50"/>
    <w:rsid w:val="00953E97"/>
    <w:rsid w:val="009613E4"/>
    <w:rsid w:val="0096582A"/>
    <w:rsid w:val="00965D92"/>
    <w:rsid w:val="00972777"/>
    <w:rsid w:val="009770D8"/>
    <w:rsid w:val="00982135"/>
    <w:rsid w:val="00982455"/>
    <w:rsid w:val="00984114"/>
    <w:rsid w:val="00990206"/>
    <w:rsid w:val="009928AB"/>
    <w:rsid w:val="00994FE5"/>
    <w:rsid w:val="00995C8F"/>
    <w:rsid w:val="009A3D2D"/>
    <w:rsid w:val="009A734D"/>
    <w:rsid w:val="009B30DE"/>
    <w:rsid w:val="009B6D4F"/>
    <w:rsid w:val="009C41BE"/>
    <w:rsid w:val="009C6B9C"/>
    <w:rsid w:val="009D1E55"/>
    <w:rsid w:val="009D2523"/>
    <w:rsid w:val="009D3A2D"/>
    <w:rsid w:val="009D421C"/>
    <w:rsid w:val="009D4AF7"/>
    <w:rsid w:val="009D4B72"/>
    <w:rsid w:val="009E4931"/>
    <w:rsid w:val="009E6617"/>
    <w:rsid w:val="009E688C"/>
    <w:rsid w:val="009E7FCA"/>
    <w:rsid w:val="009F47D8"/>
    <w:rsid w:val="009F648E"/>
    <w:rsid w:val="00A27131"/>
    <w:rsid w:val="00A2745E"/>
    <w:rsid w:val="00A3173D"/>
    <w:rsid w:val="00A36D94"/>
    <w:rsid w:val="00A40573"/>
    <w:rsid w:val="00A5016B"/>
    <w:rsid w:val="00A54DD0"/>
    <w:rsid w:val="00A55FB0"/>
    <w:rsid w:val="00A607B5"/>
    <w:rsid w:val="00A65463"/>
    <w:rsid w:val="00A70367"/>
    <w:rsid w:val="00A729B8"/>
    <w:rsid w:val="00A72E0D"/>
    <w:rsid w:val="00A7754A"/>
    <w:rsid w:val="00A77839"/>
    <w:rsid w:val="00A86ED6"/>
    <w:rsid w:val="00A9193B"/>
    <w:rsid w:val="00A95642"/>
    <w:rsid w:val="00A96368"/>
    <w:rsid w:val="00AA0D31"/>
    <w:rsid w:val="00AA28DA"/>
    <w:rsid w:val="00AA3938"/>
    <w:rsid w:val="00AB2C3F"/>
    <w:rsid w:val="00AC5CBC"/>
    <w:rsid w:val="00AE1B3A"/>
    <w:rsid w:val="00AE4F9D"/>
    <w:rsid w:val="00AF07F2"/>
    <w:rsid w:val="00B15A4E"/>
    <w:rsid w:val="00B202A1"/>
    <w:rsid w:val="00B20CE7"/>
    <w:rsid w:val="00B26594"/>
    <w:rsid w:val="00B30D07"/>
    <w:rsid w:val="00B33699"/>
    <w:rsid w:val="00B338AD"/>
    <w:rsid w:val="00B43113"/>
    <w:rsid w:val="00B71D68"/>
    <w:rsid w:val="00B73990"/>
    <w:rsid w:val="00B77512"/>
    <w:rsid w:val="00B851FB"/>
    <w:rsid w:val="00B87B46"/>
    <w:rsid w:val="00B930CD"/>
    <w:rsid w:val="00BC3565"/>
    <w:rsid w:val="00BC63E5"/>
    <w:rsid w:val="00BD51C1"/>
    <w:rsid w:val="00BE3F23"/>
    <w:rsid w:val="00BE4FB9"/>
    <w:rsid w:val="00BF0EA3"/>
    <w:rsid w:val="00BF102D"/>
    <w:rsid w:val="00BF2618"/>
    <w:rsid w:val="00BF66F2"/>
    <w:rsid w:val="00C105EA"/>
    <w:rsid w:val="00C17947"/>
    <w:rsid w:val="00C17D04"/>
    <w:rsid w:val="00C31A65"/>
    <w:rsid w:val="00C34E29"/>
    <w:rsid w:val="00C41C47"/>
    <w:rsid w:val="00C46F19"/>
    <w:rsid w:val="00C53E21"/>
    <w:rsid w:val="00C55E41"/>
    <w:rsid w:val="00C57628"/>
    <w:rsid w:val="00C57F69"/>
    <w:rsid w:val="00C665E4"/>
    <w:rsid w:val="00C84875"/>
    <w:rsid w:val="00C929B6"/>
    <w:rsid w:val="00C941E6"/>
    <w:rsid w:val="00C97770"/>
    <w:rsid w:val="00CA4A6C"/>
    <w:rsid w:val="00CA6B4C"/>
    <w:rsid w:val="00CB05E0"/>
    <w:rsid w:val="00CB12A5"/>
    <w:rsid w:val="00CB4055"/>
    <w:rsid w:val="00CB58A0"/>
    <w:rsid w:val="00CC0164"/>
    <w:rsid w:val="00CD0552"/>
    <w:rsid w:val="00CD3FAA"/>
    <w:rsid w:val="00CD67E1"/>
    <w:rsid w:val="00CE002A"/>
    <w:rsid w:val="00CF200B"/>
    <w:rsid w:val="00CF3BAD"/>
    <w:rsid w:val="00CF6387"/>
    <w:rsid w:val="00D02E61"/>
    <w:rsid w:val="00D03DA0"/>
    <w:rsid w:val="00D11AE0"/>
    <w:rsid w:val="00D1578F"/>
    <w:rsid w:val="00D2035A"/>
    <w:rsid w:val="00D22CF3"/>
    <w:rsid w:val="00D32ED4"/>
    <w:rsid w:val="00D33740"/>
    <w:rsid w:val="00D36B65"/>
    <w:rsid w:val="00D401DF"/>
    <w:rsid w:val="00D4784C"/>
    <w:rsid w:val="00D5382A"/>
    <w:rsid w:val="00D60CFD"/>
    <w:rsid w:val="00D66CBE"/>
    <w:rsid w:val="00D6794F"/>
    <w:rsid w:val="00D72931"/>
    <w:rsid w:val="00D73434"/>
    <w:rsid w:val="00D813AF"/>
    <w:rsid w:val="00D82A0F"/>
    <w:rsid w:val="00D858E8"/>
    <w:rsid w:val="00D9014B"/>
    <w:rsid w:val="00D965F6"/>
    <w:rsid w:val="00DA258A"/>
    <w:rsid w:val="00DA45E1"/>
    <w:rsid w:val="00DA6D19"/>
    <w:rsid w:val="00DD3607"/>
    <w:rsid w:val="00DD494E"/>
    <w:rsid w:val="00DD575B"/>
    <w:rsid w:val="00DF4D30"/>
    <w:rsid w:val="00DF62C7"/>
    <w:rsid w:val="00DF65EE"/>
    <w:rsid w:val="00E21B97"/>
    <w:rsid w:val="00E2337D"/>
    <w:rsid w:val="00E240C5"/>
    <w:rsid w:val="00E3434D"/>
    <w:rsid w:val="00E37C85"/>
    <w:rsid w:val="00E4116C"/>
    <w:rsid w:val="00E4275F"/>
    <w:rsid w:val="00E47473"/>
    <w:rsid w:val="00E56C57"/>
    <w:rsid w:val="00E60767"/>
    <w:rsid w:val="00E609FC"/>
    <w:rsid w:val="00E61A47"/>
    <w:rsid w:val="00E62595"/>
    <w:rsid w:val="00E73E08"/>
    <w:rsid w:val="00E74A3A"/>
    <w:rsid w:val="00E752B4"/>
    <w:rsid w:val="00E76A9E"/>
    <w:rsid w:val="00E855BF"/>
    <w:rsid w:val="00E87200"/>
    <w:rsid w:val="00E92740"/>
    <w:rsid w:val="00E945BE"/>
    <w:rsid w:val="00E94677"/>
    <w:rsid w:val="00E95D74"/>
    <w:rsid w:val="00E9678C"/>
    <w:rsid w:val="00E9740E"/>
    <w:rsid w:val="00EA1145"/>
    <w:rsid w:val="00EA3355"/>
    <w:rsid w:val="00EA3CA9"/>
    <w:rsid w:val="00EA7E09"/>
    <w:rsid w:val="00EB2293"/>
    <w:rsid w:val="00EB4C17"/>
    <w:rsid w:val="00EC33FA"/>
    <w:rsid w:val="00EC433F"/>
    <w:rsid w:val="00EC4813"/>
    <w:rsid w:val="00ED0983"/>
    <w:rsid w:val="00ED7FA0"/>
    <w:rsid w:val="00EE0886"/>
    <w:rsid w:val="00EE31F2"/>
    <w:rsid w:val="00EE5A79"/>
    <w:rsid w:val="00EE7918"/>
    <w:rsid w:val="00EF2773"/>
    <w:rsid w:val="00F02F08"/>
    <w:rsid w:val="00F14001"/>
    <w:rsid w:val="00F16099"/>
    <w:rsid w:val="00F2172F"/>
    <w:rsid w:val="00F25EF4"/>
    <w:rsid w:val="00F35395"/>
    <w:rsid w:val="00F363FB"/>
    <w:rsid w:val="00F37686"/>
    <w:rsid w:val="00F55C51"/>
    <w:rsid w:val="00F57F2D"/>
    <w:rsid w:val="00F7075C"/>
    <w:rsid w:val="00F74AC8"/>
    <w:rsid w:val="00F77644"/>
    <w:rsid w:val="00F82BA5"/>
    <w:rsid w:val="00F863B2"/>
    <w:rsid w:val="00F937B3"/>
    <w:rsid w:val="00FA2E4C"/>
    <w:rsid w:val="00FA64AC"/>
    <w:rsid w:val="00FA6DB7"/>
    <w:rsid w:val="00FD79DF"/>
    <w:rsid w:val="00FE67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506E1"/>
  <w15:chartTrackingRefBased/>
  <w15:docId w15:val="{5622CBC4-BD65-460D-BCDF-A1E5F2F7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77"/>
    <w:pPr>
      <w:widowControl w:val="0"/>
      <w:ind w:left="720"/>
    </w:pPr>
    <w:rPr>
      <w:snapToGrid w:val="0"/>
      <w:szCs w:val="20"/>
    </w:rPr>
  </w:style>
  <w:style w:type="paragraph" w:styleId="Title">
    <w:name w:val="Title"/>
    <w:basedOn w:val="Normal"/>
    <w:link w:val="TitleChar"/>
    <w:uiPriority w:val="10"/>
    <w:qFormat/>
    <w:rsid w:val="00E94677"/>
    <w:pPr>
      <w:jc w:val="center"/>
    </w:pPr>
    <w:rPr>
      <w:b/>
      <w:bCs/>
    </w:rPr>
  </w:style>
  <w:style w:type="character" w:customStyle="1" w:styleId="TitleChar">
    <w:name w:val="Title Char"/>
    <w:basedOn w:val="DefaultParagraphFont"/>
    <w:link w:val="Title"/>
    <w:uiPriority w:val="10"/>
    <w:rsid w:val="00E9467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94677"/>
    <w:pPr>
      <w:tabs>
        <w:tab w:val="center" w:pos="4680"/>
        <w:tab w:val="right" w:pos="9360"/>
      </w:tabs>
    </w:pPr>
  </w:style>
  <w:style w:type="character" w:customStyle="1" w:styleId="HeaderChar">
    <w:name w:val="Header Char"/>
    <w:basedOn w:val="DefaultParagraphFont"/>
    <w:link w:val="Header"/>
    <w:uiPriority w:val="99"/>
    <w:rsid w:val="00E946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4677"/>
    <w:pPr>
      <w:tabs>
        <w:tab w:val="center" w:pos="4680"/>
        <w:tab w:val="right" w:pos="9360"/>
      </w:tabs>
    </w:pPr>
  </w:style>
  <w:style w:type="character" w:customStyle="1" w:styleId="FooterChar">
    <w:name w:val="Footer Char"/>
    <w:basedOn w:val="DefaultParagraphFont"/>
    <w:link w:val="Footer"/>
    <w:uiPriority w:val="99"/>
    <w:rsid w:val="00E94677"/>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6D6F"/>
    <w:pPr>
      <w:spacing w:before="100" w:beforeAutospacing="1" w:after="100" w:afterAutospacing="1"/>
    </w:pPr>
    <w:rPr>
      <w:rFonts w:eastAsiaTheme="minorEastAsia"/>
    </w:rPr>
  </w:style>
  <w:style w:type="paragraph" w:styleId="NoSpacing">
    <w:name w:val="No Spacing"/>
    <w:uiPriority w:val="1"/>
    <w:qFormat/>
    <w:rsid w:val="002346F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4D30"/>
    <w:rPr>
      <w:sz w:val="16"/>
      <w:szCs w:val="16"/>
    </w:rPr>
  </w:style>
  <w:style w:type="paragraph" w:styleId="CommentText">
    <w:name w:val="annotation text"/>
    <w:basedOn w:val="Normal"/>
    <w:link w:val="CommentTextChar"/>
    <w:uiPriority w:val="99"/>
    <w:semiHidden/>
    <w:unhideWhenUsed/>
    <w:rsid w:val="00DF4D30"/>
    <w:rPr>
      <w:sz w:val="20"/>
      <w:szCs w:val="20"/>
    </w:rPr>
  </w:style>
  <w:style w:type="character" w:customStyle="1" w:styleId="CommentTextChar">
    <w:name w:val="Comment Text Char"/>
    <w:basedOn w:val="DefaultParagraphFont"/>
    <w:link w:val="CommentText"/>
    <w:uiPriority w:val="99"/>
    <w:semiHidden/>
    <w:rsid w:val="00DF4D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D30"/>
    <w:rPr>
      <w:b/>
      <w:bCs/>
    </w:rPr>
  </w:style>
  <w:style w:type="character" w:customStyle="1" w:styleId="CommentSubjectChar">
    <w:name w:val="Comment Subject Char"/>
    <w:basedOn w:val="CommentTextChar"/>
    <w:link w:val="CommentSubject"/>
    <w:uiPriority w:val="99"/>
    <w:semiHidden/>
    <w:rsid w:val="00DF4D30"/>
    <w:rPr>
      <w:rFonts w:ascii="Times New Roman" w:eastAsia="Times New Roman" w:hAnsi="Times New Roman" w:cs="Times New Roman"/>
      <w:b/>
      <w:bCs/>
      <w:sz w:val="20"/>
      <w:szCs w:val="20"/>
    </w:rPr>
  </w:style>
  <w:style w:type="paragraph" w:styleId="Revision">
    <w:name w:val="Revision"/>
    <w:hidden/>
    <w:uiPriority w:val="99"/>
    <w:semiHidden/>
    <w:rsid w:val="00DF4D3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D30"/>
    <w:rPr>
      <w:rFonts w:ascii="Segoe UI" w:eastAsia="Times New Roman" w:hAnsi="Segoe UI" w:cs="Segoe UI"/>
      <w:sz w:val="18"/>
      <w:szCs w:val="18"/>
    </w:rPr>
  </w:style>
  <w:style w:type="character" w:styleId="Hyperlink">
    <w:name w:val="Hyperlink"/>
    <w:basedOn w:val="DefaultParagraphFont"/>
    <w:uiPriority w:val="99"/>
    <w:unhideWhenUsed/>
    <w:rsid w:val="007E194D"/>
    <w:rPr>
      <w:color w:val="0563C1" w:themeColor="hyperlink"/>
      <w:u w:val="single"/>
    </w:rPr>
  </w:style>
  <w:style w:type="character" w:customStyle="1" w:styleId="UnresolvedMention1">
    <w:name w:val="Unresolved Mention1"/>
    <w:basedOn w:val="DefaultParagraphFont"/>
    <w:uiPriority w:val="99"/>
    <w:semiHidden/>
    <w:unhideWhenUsed/>
    <w:rsid w:val="007E1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025">
      <w:bodyDiv w:val="1"/>
      <w:marLeft w:val="0"/>
      <w:marRight w:val="0"/>
      <w:marTop w:val="0"/>
      <w:marBottom w:val="0"/>
      <w:divBdr>
        <w:top w:val="none" w:sz="0" w:space="0" w:color="auto"/>
        <w:left w:val="none" w:sz="0" w:space="0" w:color="auto"/>
        <w:bottom w:val="none" w:sz="0" w:space="0" w:color="auto"/>
        <w:right w:val="none" w:sz="0" w:space="0" w:color="auto"/>
      </w:divBdr>
    </w:div>
    <w:div w:id="109126137">
      <w:bodyDiv w:val="1"/>
      <w:marLeft w:val="0"/>
      <w:marRight w:val="0"/>
      <w:marTop w:val="0"/>
      <w:marBottom w:val="0"/>
      <w:divBdr>
        <w:top w:val="none" w:sz="0" w:space="0" w:color="auto"/>
        <w:left w:val="none" w:sz="0" w:space="0" w:color="auto"/>
        <w:bottom w:val="none" w:sz="0" w:space="0" w:color="auto"/>
        <w:right w:val="none" w:sz="0" w:space="0" w:color="auto"/>
      </w:divBdr>
    </w:div>
    <w:div w:id="136462964">
      <w:bodyDiv w:val="1"/>
      <w:marLeft w:val="0"/>
      <w:marRight w:val="0"/>
      <w:marTop w:val="0"/>
      <w:marBottom w:val="0"/>
      <w:divBdr>
        <w:top w:val="none" w:sz="0" w:space="0" w:color="auto"/>
        <w:left w:val="none" w:sz="0" w:space="0" w:color="auto"/>
        <w:bottom w:val="none" w:sz="0" w:space="0" w:color="auto"/>
        <w:right w:val="none" w:sz="0" w:space="0" w:color="auto"/>
      </w:divBdr>
    </w:div>
    <w:div w:id="255944473">
      <w:bodyDiv w:val="1"/>
      <w:marLeft w:val="0"/>
      <w:marRight w:val="0"/>
      <w:marTop w:val="0"/>
      <w:marBottom w:val="0"/>
      <w:divBdr>
        <w:top w:val="none" w:sz="0" w:space="0" w:color="auto"/>
        <w:left w:val="none" w:sz="0" w:space="0" w:color="auto"/>
        <w:bottom w:val="none" w:sz="0" w:space="0" w:color="auto"/>
        <w:right w:val="none" w:sz="0" w:space="0" w:color="auto"/>
      </w:divBdr>
    </w:div>
    <w:div w:id="453258793">
      <w:bodyDiv w:val="1"/>
      <w:marLeft w:val="0"/>
      <w:marRight w:val="0"/>
      <w:marTop w:val="0"/>
      <w:marBottom w:val="0"/>
      <w:divBdr>
        <w:top w:val="none" w:sz="0" w:space="0" w:color="auto"/>
        <w:left w:val="none" w:sz="0" w:space="0" w:color="auto"/>
        <w:bottom w:val="none" w:sz="0" w:space="0" w:color="auto"/>
        <w:right w:val="none" w:sz="0" w:space="0" w:color="auto"/>
      </w:divBdr>
    </w:div>
    <w:div w:id="614870356">
      <w:bodyDiv w:val="1"/>
      <w:marLeft w:val="0"/>
      <w:marRight w:val="0"/>
      <w:marTop w:val="0"/>
      <w:marBottom w:val="0"/>
      <w:divBdr>
        <w:top w:val="none" w:sz="0" w:space="0" w:color="auto"/>
        <w:left w:val="none" w:sz="0" w:space="0" w:color="auto"/>
        <w:bottom w:val="none" w:sz="0" w:space="0" w:color="auto"/>
        <w:right w:val="none" w:sz="0" w:space="0" w:color="auto"/>
      </w:divBdr>
    </w:div>
    <w:div w:id="687489546">
      <w:bodyDiv w:val="1"/>
      <w:marLeft w:val="0"/>
      <w:marRight w:val="0"/>
      <w:marTop w:val="0"/>
      <w:marBottom w:val="0"/>
      <w:divBdr>
        <w:top w:val="none" w:sz="0" w:space="0" w:color="auto"/>
        <w:left w:val="none" w:sz="0" w:space="0" w:color="auto"/>
        <w:bottom w:val="none" w:sz="0" w:space="0" w:color="auto"/>
        <w:right w:val="none" w:sz="0" w:space="0" w:color="auto"/>
      </w:divBdr>
    </w:div>
    <w:div w:id="847141789">
      <w:bodyDiv w:val="1"/>
      <w:marLeft w:val="0"/>
      <w:marRight w:val="0"/>
      <w:marTop w:val="0"/>
      <w:marBottom w:val="0"/>
      <w:divBdr>
        <w:top w:val="none" w:sz="0" w:space="0" w:color="auto"/>
        <w:left w:val="none" w:sz="0" w:space="0" w:color="auto"/>
        <w:bottom w:val="none" w:sz="0" w:space="0" w:color="auto"/>
        <w:right w:val="none" w:sz="0" w:space="0" w:color="auto"/>
      </w:divBdr>
    </w:div>
    <w:div w:id="896206598">
      <w:bodyDiv w:val="1"/>
      <w:marLeft w:val="0"/>
      <w:marRight w:val="0"/>
      <w:marTop w:val="0"/>
      <w:marBottom w:val="0"/>
      <w:divBdr>
        <w:top w:val="none" w:sz="0" w:space="0" w:color="auto"/>
        <w:left w:val="none" w:sz="0" w:space="0" w:color="auto"/>
        <w:bottom w:val="none" w:sz="0" w:space="0" w:color="auto"/>
        <w:right w:val="none" w:sz="0" w:space="0" w:color="auto"/>
      </w:divBdr>
    </w:div>
    <w:div w:id="1186406802">
      <w:bodyDiv w:val="1"/>
      <w:marLeft w:val="0"/>
      <w:marRight w:val="0"/>
      <w:marTop w:val="0"/>
      <w:marBottom w:val="0"/>
      <w:divBdr>
        <w:top w:val="none" w:sz="0" w:space="0" w:color="auto"/>
        <w:left w:val="none" w:sz="0" w:space="0" w:color="auto"/>
        <w:bottom w:val="none" w:sz="0" w:space="0" w:color="auto"/>
        <w:right w:val="none" w:sz="0" w:space="0" w:color="auto"/>
      </w:divBdr>
    </w:div>
    <w:div w:id="1193152259">
      <w:bodyDiv w:val="1"/>
      <w:marLeft w:val="0"/>
      <w:marRight w:val="0"/>
      <w:marTop w:val="0"/>
      <w:marBottom w:val="0"/>
      <w:divBdr>
        <w:top w:val="none" w:sz="0" w:space="0" w:color="auto"/>
        <w:left w:val="none" w:sz="0" w:space="0" w:color="auto"/>
        <w:bottom w:val="none" w:sz="0" w:space="0" w:color="auto"/>
        <w:right w:val="none" w:sz="0" w:space="0" w:color="auto"/>
      </w:divBdr>
    </w:div>
    <w:div w:id="1500848379">
      <w:bodyDiv w:val="1"/>
      <w:marLeft w:val="0"/>
      <w:marRight w:val="0"/>
      <w:marTop w:val="0"/>
      <w:marBottom w:val="0"/>
      <w:divBdr>
        <w:top w:val="none" w:sz="0" w:space="0" w:color="auto"/>
        <w:left w:val="none" w:sz="0" w:space="0" w:color="auto"/>
        <w:bottom w:val="none" w:sz="0" w:space="0" w:color="auto"/>
        <w:right w:val="none" w:sz="0" w:space="0" w:color="auto"/>
      </w:divBdr>
    </w:div>
    <w:div w:id="1508324005">
      <w:bodyDiv w:val="1"/>
      <w:marLeft w:val="0"/>
      <w:marRight w:val="0"/>
      <w:marTop w:val="0"/>
      <w:marBottom w:val="0"/>
      <w:divBdr>
        <w:top w:val="none" w:sz="0" w:space="0" w:color="auto"/>
        <w:left w:val="none" w:sz="0" w:space="0" w:color="auto"/>
        <w:bottom w:val="none" w:sz="0" w:space="0" w:color="auto"/>
        <w:right w:val="none" w:sz="0" w:space="0" w:color="auto"/>
      </w:divBdr>
    </w:div>
    <w:div w:id="1556694877">
      <w:bodyDiv w:val="1"/>
      <w:marLeft w:val="0"/>
      <w:marRight w:val="0"/>
      <w:marTop w:val="0"/>
      <w:marBottom w:val="0"/>
      <w:divBdr>
        <w:top w:val="none" w:sz="0" w:space="0" w:color="auto"/>
        <w:left w:val="none" w:sz="0" w:space="0" w:color="auto"/>
        <w:bottom w:val="none" w:sz="0" w:space="0" w:color="auto"/>
        <w:right w:val="none" w:sz="0" w:space="0" w:color="auto"/>
      </w:divBdr>
    </w:div>
    <w:div w:id="1619334464">
      <w:bodyDiv w:val="1"/>
      <w:marLeft w:val="0"/>
      <w:marRight w:val="0"/>
      <w:marTop w:val="0"/>
      <w:marBottom w:val="0"/>
      <w:divBdr>
        <w:top w:val="none" w:sz="0" w:space="0" w:color="auto"/>
        <w:left w:val="none" w:sz="0" w:space="0" w:color="auto"/>
        <w:bottom w:val="none" w:sz="0" w:space="0" w:color="auto"/>
        <w:right w:val="none" w:sz="0" w:space="0" w:color="auto"/>
      </w:divBdr>
    </w:div>
    <w:div w:id="1767534627">
      <w:bodyDiv w:val="1"/>
      <w:marLeft w:val="0"/>
      <w:marRight w:val="0"/>
      <w:marTop w:val="0"/>
      <w:marBottom w:val="0"/>
      <w:divBdr>
        <w:top w:val="none" w:sz="0" w:space="0" w:color="auto"/>
        <w:left w:val="none" w:sz="0" w:space="0" w:color="auto"/>
        <w:bottom w:val="none" w:sz="0" w:space="0" w:color="auto"/>
        <w:right w:val="none" w:sz="0" w:space="0" w:color="auto"/>
      </w:divBdr>
    </w:div>
    <w:div w:id="1918855815">
      <w:bodyDiv w:val="1"/>
      <w:marLeft w:val="0"/>
      <w:marRight w:val="0"/>
      <w:marTop w:val="0"/>
      <w:marBottom w:val="0"/>
      <w:divBdr>
        <w:top w:val="none" w:sz="0" w:space="0" w:color="auto"/>
        <w:left w:val="none" w:sz="0" w:space="0" w:color="auto"/>
        <w:bottom w:val="none" w:sz="0" w:space="0" w:color="auto"/>
        <w:right w:val="none" w:sz="0" w:space="0" w:color="auto"/>
      </w:divBdr>
    </w:div>
    <w:div w:id="2012679296">
      <w:bodyDiv w:val="1"/>
      <w:marLeft w:val="0"/>
      <w:marRight w:val="0"/>
      <w:marTop w:val="0"/>
      <w:marBottom w:val="0"/>
      <w:divBdr>
        <w:top w:val="none" w:sz="0" w:space="0" w:color="auto"/>
        <w:left w:val="none" w:sz="0" w:space="0" w:color="auto"/>
        <w:bottom w:val="none" w:sz="0" w:space="0" w:color="auto"/>
        <w:right w:val="none" w:sz="0" w:space="0" w:color="auto"/>
      </w:divBdr>
    </w:div>
    <w:div w:id="21451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3.emf"/><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hyperlink" Target="https://cew.georgetown.edu/wp-content/uploads/The-Economic-Value-of-College-Majors-Full-Report-web-FINAL.pdf" TargetMode="External"/><Relationship Id="rId19" Type="http://schemas.openxmlformats.org/officeDocument/2006/relationships/image" Target="media/image8.emf"/><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image" Target="media/image11.emf"/><Relationship Id="rId27" Type="http://schemas.openxmlformats.org/officeDocument/2006/relationships/footer" Target="footer1.xml"/><Relationship Id="rId30"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ogelweidej\Box%20Sync\Documents\Board%20Items\June%2020\AEI%20CHA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ogelweidej\Box%20Sync\Documents\Board%20Items\April%2020\AEI%20CHAR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Resident Undergraduate Tuition to Inflation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'Layman Graph'!$T$15</c:f>
              <c:strCache>
                <c:ptCount val="1"/>
                <c:pt idx="0">
                  <c:v>Inflation (CPI-U)</c:v>
                </c:pt>
              </c:strCache>
            </c:strRef>
          </c:tx>
          <c:spPr>
            <a:ln w="28575" cap="rnd">
              <a:solidFill>
                <a:srgbClr val="B9BBBA"/>
              </a:solidFill>
              <a:prstDash val="solid"/>
              <a:round/>
            </a:ln>
            <a:effectLst/>
          </c:spPr>
          <c:marker>
            <c:symbol val="none"/>
          </c:marker>
          <c:cat>
            <c:numRef>
              <c:f>'Layman Graph'!$A$16:$A$26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'Layman Graph'!$T$16:$T$26</c:f>
              <c:numCache>
                <c:formatCode>0%</c:formatCode>
                <c:ptCount val="11"/>
                <c:pt idx="0">
                  <c:v>0</c:v>
                </c:pt>
                <c:pt idx="1">
                  <c:v>1.0524363670082026E-2</c:v>
                </c:pt>
                <c:pt idx="2">
                  <c:v>4.6409198386573314E-2</c:v>
                </c:pt>
                <c:pt idx="3">
                  <c:v>6.3934350224859715E-2</c:v>
                </c:pt>
                <c:pt idx="4">
                  <c:v>8.2572210116370837E-2</c:v>
                </c:pt>
                <c:pt idx="5">
                  <c:v>0.10482637118086147</c:v>
                </c:pt>
                <c:pt idx="6">
                  <c:v>0.10621725624739198</c:v>
                </c:pt>
                <c:pt idx="7">
                  <c:v>0.1173443367796374</c:v>
                </c:pt>
                <c:pt idx="8">
                  <c:v>0.13565765682229114</c:v>
                </c:pt>
                <c:pt idx="9">
                  <c:v>0.16829709305021101</c:v>
                </c:pt>
                <c:pt idx="10">
                  <c:v>0.18753766980388509</c:v>
                </c:pt>
              </c:numCache>
            </c:numRef>
          </c:val>
          <c:smooth val="0"/>
          <c:extLst>
            <c:ext xmlns:c16="http://schemas.microsoft.com/office/drawing/2014/chart" uri="{C3380CC4-5D6E-409C-BE32-E72D297353CC}">
              <c16:uniqueId val="{00000000-624A-414E-AAB8-090C8052511F}"/>
            </c:ext>
          </c:extLst>
        </c:ser>
        <c:ser>
          <c:idx val="1"/>
          <c:order val="1"/>
          <c:tx>
            <c:strRef>
              <c:f>'Layman Graph'!$AA$15</c:f>
              <c:strCache>
                <c:ptCount val="1"/>
                <c:pt idx="0">
                  <c:v>State Appropriations</c:v>
                </c:pt>
              </c:strCache>
            </c:strRef>
          </c:tx>
          <c:spPr>
            <a:ln w="28575" cap="rnd">
              <a:solidFill>
                <a:srgbClr val="C00000"/>
              </a:solidFill>
              <a:round/>
            </a:ln>
            <a:effectLst/>
          </c:spPr>
          <c:marker>
            <c:symbol val="none"/>
          </c:marker>
          <c:cat>
            <c:numRef>
              <c:f>'Layman Graph'!$A$16:$A$26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'Layman Graph'!$AA$16:$AA$26</c:f>
              <c:numCache>
                <c:formatCode>0%</c:formatCode>
                <c:ptCount val="11"/>
                <c:pt idx="0">
                  <c:v>0</c:v>
                </c:pt>
                <c:pt idx="1">
                  <c:v>0</c:v>
                </c:pt>
                <c:pt idx="2">
                  <c:v>-5.2092457530152902E-2</c:v>
                </c:pt>
                <c:pt idx="3">
                  <c:v>-0.12147312043142422</c:v>
                </c:pt>
                <c:pt idx="4">
                  <c:v>-0.11401607254534651</c:v>
                </c:pt>
                <c:pt idx="5">
                  <c:v>-8.8153376730645827E-2</c:v>
                </c:pt>
                <c:pt idx="6">
                  <c:v>-2.4255212934029879E-2</c:v>
                </c:pt>
                <c:pt idx="7">
                  <c:v>-9.6120131742863935E-3</c:v>
                </c:pt>
                <c:pt idx="8">
                  <c:v>-5.7503055041345674E-2</c:v>
                </c:pt>
                <c:pt idx="9">
                  <c:v>-9.5218354507554892E-2</c:v>
                </c:pt>
                <c:pt idx="10">
                  <c:v>-7.6004651682357594E-2</c:v>
                </c:pt>
              </c:numCache>
            </c:numRef>
          </c:val>
          <c:smooth val="0"/>
          <c:extLst>
            <c:ext xmlns:c16="http://schemas.microsoft.com/office/drawing/2014/chart" uri="{C3380CC4-5D6E-409C-BE32-E72D297353CC}">
              <c16:uniqueId val="{00000001-624A-414E-AAB8-090C8052511F}"/>
            </c:ext>
          </c:extLst>
        </c:ser>
        <c:ser>
          <c:idx val="2"/>
          <c:order val="2"/>
          <c:tx>
            <c:strRef>
              <c:f>'Layman Graph'!$Z$15</c:f>
              <c:strCache>
                <c:ptCount val="1"/>
                <c:pt idx="0">
                  <c:v>Resident Tuition</c:v>
                </c:pt>
              </c:strCache>
            </c:strRef>
          </c:tx>
          <c:spPr>
            <a:ln w="28575" cap="rnd">
              <a:solidFill>
                <a:srgbClr val="00B0F0"/>
              </a:solidFill>
              <a:prstDash val="dash"/>
              <a:round/>
            </a:ln>
            <a:effectLst/>
          </c:spPr>
          <c:marker>
            <c:symbol val="none"/>
          </c:marker>
          <c:cat>
            <c:numRef>
              <c:f>'Layman Graph'!$A$16:$A$26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'Layman Graph'!$Z$16:$Z$26</c:f>
              <c:numCache>
                <c:formatCode>0%</c:formatCode>
                <c:ptCount val="11"/>
                <c:pt idx="0">
                  <c:v>0</c:v>
                </c:pt>
                <c:pt idx="1">
                  <c:v>0</c:v>
                </c:pt>
                <c:pt idx="2">
                  <c:v>0</c:v>
                </c:pt>
                <c:pt idx="3">
                  <c:v>6.514657980456029E-2</c:v>
                </c:pt>
                <c:pt idx="4">
                  <c:v>9.690553745928332E-2</c:v>
                </c:pt>
                <c:pt idx="5">
                  <c:v>0.11563517915309451</c:v>
                </c:pt>
                <c:pt idx="6">
                  <c:v>0.11563517915309451</c:v>
                </c:pt>
                <c:pt idx="7">
                  <c:v>0.12459283387622144</c:v>
                </c:pt>
                <c:pt idx="8">
                  <c:v>0.12459283387622144</c:v>
                </c:pt>
                <c:pt idx="9">
                  <c:v>0.14820846905537466</c:v>
                </c:pt>
                <c:pt idx="10">
                  <c:v>0.17223127035830621</c:v>
                </c:pt>
              </c:numCache>
            </c:numRef>
          </c:val>
          <c:smooth val="0"/>
          <c:extLst>
            <c:ext xmlns:c16="http://schemas.microsoft.com/office/drawing/2014/chart" uri="{C3380CC4-5D6E-409C-BE32-E72D297353CC}">
              <c16:uniqueId val="{00000002-624A-414E-AAB8-090C8052511F}"/>
            </c:ext>
          </c:extLst>
        </c:ser>
        <c:dLbls>
          <c:showLegendKey val="0"/>
          <c:showVal val="0"/>
          <c:showCatName val="0"/>
          <c:showSerName val="0"/>
          <c:showPercent val="0"/>
          <c:showBubbleSize val="0"/>
        </c:dLbls>
        <c:smooth val="0"/>
        <c:axId val="1367094480"/>
        <c:axId val="1375205376"/>
      </c:lineChart>
      <c:catAx>
        <c:axId val="136709448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75205376"/>
        <c:crosses val="autoZero"/>
        <c:auto val="1"/>
        <c:lblAlgn val="ctr"/>
        <c:lblOffset val="100"/>
        <c:noMultiLvlLbl val="0"/>
      </c:catAx>
      <c:valAx>
        <c:axId val="13752053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6709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University of</a:t>
            </a:r>
            <a:r>
              <a:rPr lang="en-US" baseline="0"/>
              <a:t> Missouri Changes in Resources to Inflation (%)</a:t>
            </a:r>
            <a:endParaRPr lang="en-US"/>
          </a:p>
        </c:rich>
      </c:tx>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'Layman Graph'!$T$15</c:f>
              <c:strCache>
                <c:ptCount val="1"/>
                <c:pt idx="0">
                  <c:v>Inflation (CPI-U)</c:v>
                </c:pt>
              </c:strCache>
            </c:strRef>
          </c:tx>
          <c:spPr>
            <a:ln w="28575" cap="rnd">
              <a:solidFill>
                <a:srgbClr val="B9BBBA"/>
              </a:solidFill>
              <a:round/>
            </a:ln>
            <a:effectLst/>
          </c:spPr>
          <c:marker>
            <c:symbol val="none"/>
          </c:marker>
          <c:cat>
            <c:numRef>
              <c:f>'Layman Graph'!$A$16:$A$26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'Layman Graph'!$T$16:$T$26</c:f>
              <c:numCache>
                <c:formatCode>0%</c:formatCode>
                <c:ptCount val="11"/>
                <c:pt idx="0">
                  <c:v>0</c:v>
                </c:pt>
                <c:pt idx="1">
                  <c:v>1.0524363670082026E-2</c:v>
                </c:pt>
                <c:pt idx="2">
                  <c:v>4.6409198386573314E-2</c:v>
                </c:pt>
                <c:pt idx="3">
                  <c:v>6.3934350224859715E-2</c:v>
                </c:pt>
                <c:pt idx="4">
                  <c:v>8.2572210116370837E-2</c:v>
                </c:pt>
                <c:pt idx="5">
                  <c:v>0.10482637118086147</c:v>
                </c:pt>
                <c:pt idx="6">
                  <c:v>0.10621725624739198</c:v>
                </c:pt>
                <c:pt idx="7">
                  <c:v>0.1173443367796374</c:v>
                </c:pt>
                <c:pt idx="8">
                  <c:v>0.13565765682229114</c:v>
                </c:pt>
                <c:pt idx="9">
                  <c:v>0.16829709305021101</c:v>
                </c:pt>
                <c:pt idx="10">
                  <c:v>0.18753766980388509</c:v>
                </c:pt>
              </c:numCache>
            </c:numRef>
          </c:val>
          <c:smooth val="0"/>
          <c:extLst>
            <c:ext xmlns:c16="http://schemas.microsoft.com/office/drawing/2014/chart" uri="{C3380CC4-5D6E-409C-BE32-E72D297353CC}">
              <c16:uniqueId val="{00000000-47B4-47B6-83BF-9A84EFBAED69}"/>
            </c:ext>
          </c:extLst>
        </c:ser>
        <c:ser>
          <c:idx val="1"/>
          <c:order val="1"/>
          <c:tx>
            <c:strRef>
              <c:f>'Layman Graph'!$U$15</c:f>
              <c:strCache>
                <c:ptCount val="1"/>
                <c:pt idx="0">
                  <c:v>State Support per FTE</c:v>
                </c:pt>
              </c:strCache>
            </c:strRef>
          </c:tx>
          <c:spPr>
            <a:ln w="28575" cap="rnd">
              <a:solidFill>
                <a:srgbClr val="C00000"/>
              </a:solidFill>
              <a:round/>
            </a:ln>
            <a:effectLst/>
          </c:spPr>
          <c:marker>
            <c:symbol val="none"/>
          </c:marker>
          <c:cat>
            <c:numRef>
              <c:f>'Layman Graph'!$A$16:$A$26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'Layman Graph'!$U$16:$U$26</c:f>
              <c:numCache>
                <c:formatCode>0%</c:formatCode>
                <c:ptCount val="11"/>
                <c:pt idx="0">
                  <c:v>0</c:v>
                </c:pt>
                <c:pt idx="1">
                  <c:v>-4.2544847256623775E-2</c:v>
                </c:pt>
                <c:pt idx="2">
                  <c:v>-0.12492834520629525</c:v>
                </c:pt>
                <c:pt idx="3">
                  <c:v>-0.21138988482345566</c:v>
                </c:pt>
                <c:pt idx="4">
                  <c:v>-0.21795339759652599</c:v>
                </c:pt>
                <c:pt idx="5">
                  <c:v>-0.20005673074005048</c:v>
                </c:pt>
                <c:pt idx="6">
                  <c:v>-0.16415958558749788</c:v>
                </c:pt>
                <c:pt idx="7">
                  <c:v>-0.15516463272252179</c:v>
                </c:pt>
                <c:pt idx="8">
                  <c:v>-0.16776054749134117</c:v>
                </c:pt>
                <c:pt idx="9">
                  <c:v>-0.16592209527085156</c:v>
                </c:pt>
                <c:pt idx="10">
                  <c:v>-0.11890363398113935</c:v>
                </c:pt>
              </c:numCache>
            </c:numRef>
          </c:val>
          <c:smooth val="0"/>
          <c:extLst>
            <c:ext xmlns:c16="http://schemas.microsoft.com/office/drawing/2014/chart" uri="{C3380CC4-5D6E-409C-BE32-E72D297353CC}">
              <c16:uniqueId val="{00000001-47B4-47B6-83BF-9A84EFBAED69}"/>
            </c:ext>
          </c:extLst>
        </c:ser>
        <c:ser>
          <c:idx val="2"/>
          <c:order val="2"/>
          <c:tx>
            <c:strRef>
              <c:f>'Layman Graph'!$V$15</c:f>
              <c:strCache>
                <c:ptCount val="1"/>
                <c:pt idx="0">
                  <c:v>Net Tuition per FTE</c:v>
                </c:pt>
              </c:strCache>
            </c:strRef>
          </c:tx>
          <c:spPr>
            <a:ln w="28575" cap="rnd">
              <a:solidFill>
                <a:srgbClr val="002060"/>
              </a:solidFill>
              <a:round/>
            </a:ln>
            <a:effectLst/>
          </c:spPr>
          <c:marker>
            <c:symbol val="none"/>
          </c:marker>
          <c:cat>
            <c:numRef>
              <c:f>'Layman Graph'!$A$16:$A$26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'Layman Graph'!$V$16:$V$26</c:f>
              <c:numCache>
                <c:formatCode>0%</c:formatCode>
                <c:ptCount val="11"/>
                <c:pt idx="0">
                  <c:v>0</c:v>
                </c:pt>
                <c:pt idx="1">
                  <c:v>-2.8033076036564131E-2</c:v>
                </c:pt>
                <c:pt idx="2">
                  <c:v>-3.8356995832684593E-3</c:v>
                </c:pt>
                <c:pt idx="3">
                  <c:v>7.5509130655290857E-2</c:v>
                </c:pt>
                <c:pt idx="4">
                  <c:v>0.15670512724002883</c:v>
                </c:pt>
                <c:pt idx="5">
                  <c:v>0.21466937387015039</c:v>
                </c:pt>
                <c:pt idx="6">
                  <c:v>0.24061933905922617</c:v>
                </c:pt>
                <c:pt idx="7">
                  <c:v>0.2687160344320354</c:v>
                </c:pt>
                <c:pt idx="8">
                  <c:v>0.26532077043811908</c:v>
                </c:pt>
                <c:pt idx="9">
                  <c:v>0.29251284961370527</c:v>
                </c:pt>
                <c:pt idx="10">
                  <c:v>0.31316821018388974</c:v>
                </c:pt>
              </c:numCache>
            </c:numRef>
          </c:val>
          <c:smooth val="0"/>
          <c:extLst>
            <c:ext xmlns:c16="http://schemas.microsoft.com/office/drawing/2014/chart" uri="{C3380CC4-5D6E-409C-BE32-E72D297353CC}">
              <c16:uniqueId val="{00000002-47B4-47B6-83BF-9A84EFBAED69}"/>
            </c:ext>
          </c:extLst>
        </c:ser>
        <c:ser>
          <c:idx val="3"/>
          <c:order val="3"/>
          <c:tx>
            <c:strRef>
              <c:f>'Layman Graph'!$W$15</c:f>
              <c:strCache>
                <c:ptCount val="1"/>
                <c:pt idx="0">
                  <c:v>Resources per FTE</c:v>
                </c:pt>
              </c:strCache>
            </c:strRef>
          </c:tx>
          <c:spPr>
            <a:ln w="28575" cap="rnd">
              <a:solidFill>
                <a:srgbClr val="00B050"/>
              </a:solidFill>
              <a:round/>
            </a:ln>
            <a:effectLst/>
          </c:spPr>
          <c:marker>
            <c:symbol val="none"/>
          </c:marker>
          <c:cat>
            <c:numRef>
              <c:f>'Layman Graph'!$A$16:$A$26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'Layman Graph'!$W$16:$W$26</c:f>
              <c:numCache>
                <c:formatCode>0%</c:formatCode>
                <c:ptCount val="11"/>
                <c:pt idx="0">
                  <c:v>0</c:v>
                </c:pt>
                <c:pt idx="1">
                  <c:v>-3.5575049070798559E-2</c:v>
                </c:pt>
                <c:pt idx="2">
                  <c:v>-6.6769262556653719E-2</c:v>
                </c:pt>
                <c:pt idx="3">
                  <c:v>-7.3596351058625276E-2</c:v>
                </c:pt>
                <c:pt idx="4">
                  <c:v>-3.8010214430838962E-2</c:v>
                </c:pt>
                <c:pt idx="5">
                  <c:v>-8.6965648884707036E-4</c:v>
                </c:pt>
                <c:pt idx="6">
                  <c:v>3.024999900981129E-2</c:v>
                </c:pt>
                <c:pt idx="7">
                  <c:v>4.8419248262065118E-2</c:v>
                </c:pt>
                <c:pt idx="8">
                  <c:v>4.0242275751010137E-2</c:v>
                </c:pt>
                <c:pt idx="9">
                  <c:v>5.4257715912947813E-2</c:v>
                </c:pt>
                <c:pt idx="10">
                  <c:v>8.8614353309399041E-2</c:v>
                </c:pt>
              </c:numCache>
            </c:numRef>
          </c:val>
          <c:smooth val="0"/>
          <c:extLst>
            <c:ext xmlns:c16="http://schemas.microsoft.com/office/drawing/2014/chart" uri="{C3380CC4-5D6E-409C-BE32-E72D297353CC}">
              <c16:uniqueId val="{00000003-47B4-47B6-83BF-9A84EFBAED69}"/>
            </c:ext>
          </c:extLst>
        </c:ser>
        <c:dLbls>
          <c:showLegendKey val="0"/>
          <c:showVal val="0"/>
          <c:showCatName val="0"/>
          <c:showSerName val="0"/>
          <c:showPercent val="0"/>
          <c:showBubbleSize val="0"/>
        </c:dLbls>
        <c:smooth val="0"/>
        <c:axId val="994001135"/>
        <c:axId val="316791471"/>
      </c:lineChart>
      <c:catAx>
        <c:axId val="994001135"/>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2760000" spcFirstLastPara="1" vertOverflow="ellipsis"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6791471"/>
        <c:crosses val="autoZero"/>
        <c:auto val="1"/>
        <c:lblAlgn val="ctr"/>
        <c:lblOffset val="100"/>
        <c:noMultiLvlLbl val="0"/>
      </c:catAx>
      <c:valAx>
        <c:axId val="3167914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940011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D9B676C6F294478EAD47075302E471" ma:contentTypeVersion="1" ma:contentTypeDescription="Create a new document." ma:contentTypeScope="" ma:versionID="80180b8436bf3baa3757cca53172183c">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CDB23-390D-4EB9-A5D2-CB176B54843B}">
  <ds:schemaRefs>
    <ds:schemaRef ds:uri="http://schemas.openxmlformats.org/officeDocument/2006/bibliography"/>
  </ds:schemaRefs>
</ds:datastoreItem>
</file>

<file path=customXml/itemProps2.xml><?xml version="1.0" encoding="utf-8"?>
<ds:datastoreItem xmlns:ds="http://schemas.openxmlformats.org/officeDocument/2006/customXml" ds:itemID="{FB67F7AB-682E-43FA-8F55-5ED52B8EB8A3}"/>
</file>

<file path=customXml/itemProps3.xml><?xml version="1.0" encoding="utf-8"?>
<ds:datastoreItem xmlns:ds="http://schemas.openxmlformats.org/officeDocument/2006/customXml" ds:itemID="{42E2A82B-DB49-48A2-90C1-6F5CDD36A513}"/>
</file>

<file path=customXml/itemProps4.xml><?xml version="1.0" encoding="utf-8"?>
<ds:datastoreItem xmlns:ds="http://schemas.openxmlformats.org/officeDocument/2006/customXml" ds:itemID="{578FCBDF-5C8A-4104-9F48-312573E4C322}"/>
</file>

<file path=docProps/app.xml><?xml version="1.0" encoding="utf-8"?>
<Properties xmlns="http://schemas.openxmlformats.org/officeDocument/2006/extended-properties" xmlns:vt="http://schemas.openxmlformats.org/officeDocument/2006/docPropsVTypes">
  <Template>Normal.dotm</Template>
  <TotalTime>0</TotalTime>
  <Pages>22</Pages>
  <Words>4985</Words>
  <Characters>28415</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33334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Memoree</dc:creator>
  <cp:keywords/>
  <dc:description/>
  <cp:lastModifiedBy>Harmon, Cindy S. (Curators)</cp:lastModifiedBy>
  <cp:revision>2</cp:revision>
  <cp:lastPrinted>2020-05-29T19:54:00Z</cp:lastPrinted>
  <dcterms:created xsi:type="dcterms:W3CDTF">2020-06-08T16:28:00Z</dcterms:created>
  <dcterms:modified xsi:type="dcterms:W3CDTF">2020-06-08T16:28:00Z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0x01010048D9B676C6F294478EAD47075302E471</vt:lpwstr>
  </property>
</Properties>
</file>